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Incannex Healthcare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Polar Asset Management Partners Inc.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7"/>
        <w:gridCol w:w="8973"/>
        <w:gridCol w:w="155"/>
      </w:tblGrid>
      <w:tr>
        <w:trPr/>
        <w:tc>
          <w:tcPr>
            <w:tcW w:w="1077" w:type="dxa"/>
            <w:tcBorders/>
            <w:vAlign w:val="center"/>
          </w:tcPr>
          <w:p>
            <w:pPr>
              <w:pStyle w:val="TableContents"/>
              <w:bidi w:val="0"/>
              <w:spacing w:before="0" w:after="283"/>
              <w:jc w:val="left"/>
              <w:rPr/>
            </w:pPr>
            <w:r>
              <w:rPr/>
              <w:t>Item 1.</w:t>
            </w:r>
          </w:p>
        </w:tc>
        <w:tc>
          <w:tcPr>
            <w:tcW w:w="89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Name of issuer: </w:t>
            </w:r>
          </w:p>
          <w:p>
            <w:pPr>
              <w:pStyle w:val="TableContents"/>
              <w:bidi w:val="0"/>
              <w:spacing w:before="0" w:after="0"/>
              <w:jc w:val="left"/>
              <w:rPr/>
            </w:pPr>
            <w:r>
              <w:rPr/>
              <w:t>Incannex Healthcare Inc.</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CENTURY CIRCUIT, STE. 105, NORWEST NSW, NSW, Australia,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2.</w:t>
            </w:r>
          </w:p>
        </w:tc>
        <w:tc>
          <w:tcPr>
            <w:tcW w:w="89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Polar Asset Management Partners Inc., a company incorporated under the laws of Ontario, Canada, which serves as the investment advisor to Polar Multi-Strategy Master Fund, a Cayman Islands exempted company ("PMSMF") with respect to the shares directly held by PMSMF.</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 York Street, Suite 2900, Toronto, Ontario, M5J 0E6</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jc w:val="left"/>
              <w:rPr/>
            </w:pPr>
            <w:r>
              <w:rPr/>
              <w:t xml:space="preserve">Citizenship: </w:t>
            </w:r>
          </w:p>
          <w:p>
            <w:pPr>
              <w:pStyle w:val="TableContents"/>
              <w:bidi w:val="0"/>
              <w:spacing w:before="0" w:after="0"/>
              <w:jc w:val="left"/>
              <w:rPr/>
            </w:pPr>
            <w:r>
              <w:rPr/>
              <w:t>Canada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(d)</w:t>
            </w:r>
          </w:p>
        </w:tc>
        <w:tc>
          <w:tcPr>
            <w:tcW w:w="89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(e)</w:t>
            </w:r>
          </w:p>
        </w:tc>
        <w:tc>
          <w:tcPr>
            <w:tcW w:w="89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3.</w:t>
            </w:r>
          </w:p>
        </w:tc>
        <w:tc>
          <w:tcPr>
            <w:tcW w:w="89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(d)</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(e)</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(f)</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(g)</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(h)</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(j)</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(k)</w:t>
            </w:r>
          </w:p>
        </w:tc>
        <w:tc>
          <w:tcPr>
            <w:tcW w:w="89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9128" w:type="dxa"/>
            <w:gridSpan w:val="2"/>
            <w:tcBorders/>
            <w:vAlign w:val="center"/>
          </w:tcPr>
          <w:p>
            <w:pPr>
              <w:pStyle w:val="TableContents"/>
              <w:bidi w:val="0"/>
              <w:spacing w:before="0" w:after="0"/>
              <w:jc w:val="left"/>
              <w:rPr/>
            </w:pPr>
            <w:r>
              <w:rPr/>
              <w:t>The Reporting Person is an investment fund manager, portfolio manager, exempt market dealer and commodity trading manager registered with the Ontario Securities Commission.</w:t>
            </w:r>
          </w:p>
        </w:tc>
      </w:tr>
      <w:tr>
        <w:trPr/>
        <w:tc>
          <w:tcPr>
            <w:tcW w:w="1077" w:type="dxa"/>
            <w:tcBorders/>
            <w:vAlign w:val="center"/>
          </w:tcPr>
          <w:p>
            <w:pPr>
              <w:pStyle w:val="TableContents"/>
              <w:bidi w:val="0"/>
              <w:spacing w:before="0" w:after="283"/>
              <w:jc w:val="left"/>
              <w:rPr/>
            </w:pPr>
            <w:r>
              <w:rPr/>
              <w:t>Item 4.</w:t>
            </w:r>
          </w:p>
        </w:tc>
        <w:tc>
          <w:tcPr>
            <w:tcW w:w="89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(a)</w:t>
            </w:r>
          </w:p>
        </w:tc>
        <w:tc>
          <w:tcPr>
            <w:tcW w:w="89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900000</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(b)</w:t>
            </w:r>
          </w:p>
        </w:tc>
        <w:tc>
          <w:tcPr>
            <w:tcW w:w="89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(c)</w:t>
            </w:r>
          </w:p>
        </w:tc>
        <w:tc>
          <w:tcPr>
            <w:tcW w:w="89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900000 shares issuable upon the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900000 shares issuable upon the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5.</w:t>
            </w:r>
          </w:p>
        </w:tc>
        <w:tc>
          <w:tcPr>
            <w:tcW w:w="89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6.</w:t>
            </w:r>
          </w:p>
        </w:tc>
        <w:tc>
          <w:tcPr>
            <w:tcW w:w="89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7.</w:t>
            </w:r>
          </w:p>
        </w:tc>
        <w:tc>
          <w:tcPr>
            <w:tcW w:w="89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8.</w:t>
            </w:r>
          </w:p>
        </w:tc>
        <w:tc>
          <w:tcPr>
            <w:tcW w:w="89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Item 9.</w:t>
            </w:r>
          </w:p>
        </w:tc>
        <w:tc>
          <w:tcPr>
            <w:tcW w:w="89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7" w:type="dxa"/>
            <w:tcBorders/>
            <w:vAlign w:val="center"/>
          </w:tcPr>
          <w:p>
            <w:pPr>
              <w:pStyle w:val="TableContents"/>
              <w:bidi w:val="0"/>
              <w:spacing w:before="0" w:after="283"/>
              <w:jc w:val="left"/>
              <w:rPr/>
            </w:pPr>
            <w:r>
              <w:rPr/>
              <w:t> </w:t>
            </w:r>
          </w:p>
        </w:tc>
        <w:tc>
          <w:tcPr>
            <w:tcW w:w="89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Polar Asset Management Partners Inc.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Andrew Ma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4231</Characters>
  <CharactersWithSpaces>5032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