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3820" w:right="940" w:hanging="2872"/>
        <w:spacing w:after="0" w:line="500" w:lineRule="auto"/>
        <w:tabs>
          <w:tab w:leader="none" w:pos="11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860" w:right="940" w:hanging="1919"/>
        <w:spacing w:after="0" w:line="500" w:lineRule="auto"/>
        <w:tabs>
          <w:tab w:leader="none" w:pos="114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FROM___________ TO__________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001-41106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93-2403210</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Suite 105, 8 Century Circuit</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Norwest, NSW 2153</w:t>
            </w:r>
          </w:p>
        </w:tc>
        <w:tc>
          <w:tcPr>
            <w:tcW w:w="5500" w:type="dxa"/>
            <w:vAlign w:val="bottom"/>
          </w:tcPr>
          <w:p>
            <w:pPr>
              <w:spacing w:after="0"/>
              <w:rPr>
                <w:sz w:val="18"/>
                <w:szCs w:val="18"/>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+61 409 840 786</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13, 2025, the registrant had 29,433,798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0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I—FINANCIAL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34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34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34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34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934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adopted pursuant to the Private Securities Litigation Reform Act of 1995.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9" w:lineRule="exact"/>
        <w:rPr>
          <w:sz w:val="20"/>
          <w:szCs w:val="20"/>
          <w:color w:val="auto"/>
        </w:rPr>
      </w:pPr>
    </w:p>
    <w:p>
      <w:pPr>
        <w:ind w:left="980" w:right="1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product development and business strategies, including our ability to continue to pursue development pathways and regulatory strategies for IHL-42X, PSX-001, and IHL-675A and any of our other drug candidates;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product development and business strategies, including our ability to continue to pursue development pathways and regulatory strategies for IHL-42X, PSX-001, and IHL-675A and any of our other drug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and related future growth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(“R&amp;D”) activities, including clinical testing and manufacturing and the related costs and timing;</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required to conduct additional clinical studies or trials for our drug candidates and the consequences resulting from the delay in obtaining necessary regulatory approvals;</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and our ability to obtain and maintain regulatory approvals for our drug candidates for any indication;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drug candidates, if approved and commercialized;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feedback from and discussions with regulators, regulatory development paths and with respect to Controlled Substances Act designation;</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patent rights and other intellectual property protection for our drug candidates, and to prevent competitors from using technologies we consider important to the successful development and commercialization of our drug candidates;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revenues, financial performance and capital requirements, including the length of time our capital resources will sustain our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drug candidates and to generate revenues;</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including our ability to obtain the funding necessary to advance the development of our drug candidates and our ability to continue as a going concern;</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provisions and requirements of our debt arrangements and to pay amounts owed, including any amounts that may be accelerated;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qualified employees, directors, consultants and advisors;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comply with applicable privacy laws and protect confidential information from security breaches;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recent and potential future changes in healthcare policy could negatively impact our business and financial condition;</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global economic and political developments, including existing regional conflicts, pandemics, natural disasters, and the indirect and/or long-term impact of inflation, will affect our business operations, clinical trials, or financial condition;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of assumptions underlying any of the foregoing.</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previously disclosed in Item IA in our Annual Report on Form 10-K, as filed with the SEC on September 30, 2024 (the “2024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(https://www.incannex.com/investors/). We therefore encourage investors and others interested in our company to review the information that we make available on our website. Our website and information included in or linked to our website are not part of this Quarterly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INCANNEX HEALTHCARE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(expressed in U.S. Dollars, unless otherwise stated)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pledged as security for short-term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(“R&amp;D”) tax incentive receivable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9,837</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16,197</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17,047</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rights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8,794</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5,830</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 shares 100,000,000 authorized; 17,785,235 and 17,642,832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March 31, 2025 and June 30, 2024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86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 outstanding at March</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2025 and June 30, 2024,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125,218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(125,953)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(110,671)</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7,403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11,217</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8"/>
                <w:szCs w:val="18"/>
                <w:color w:val="auto"/>
              </w:rPr>
            </w:pPr>
          </w:p>
        </w:tc>
        <w:tc>
          <w:tcPr>
            <w:tcW w:w="234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For the 9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(2,735)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(3,277)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(2,268)</w:t>
            </w:r>
          </w:p>
        </w:tc>
        <w:tc>
          <w:tcPr>
            <w:tcW w:w="3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(4,138)</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(9,302)</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(7,415)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(16,261)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tax incentive</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8,150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convertible rights</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warrant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1,824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issuance costs</w:t>
            </w: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(994)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(1,095)</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 expense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(3,968</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(6,031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(15,282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(11,998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(3,968</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(6,031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(15,282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(11,998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4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Borders>
              <w:bottom w:val="single" w:sz="8" w:color="CCEEFF"/>
            </w:tcBorders>
            <w:vMerge w:val="continue"/>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20" w:type="dxa"/>
            <w:vAlign w:val="bottom"/>
            <w:tcBorders>
              <w:bottom w:val="single" w:sz="8" w:color="CCEEFF"/>
            </w:tcBorders>
            <w:vMerge w:val="continue"/>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Weighted average number of shares outstanding, basic and diluted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19,632,539</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15,873,113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18,238,863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15,873,113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59"/>
        </w:trPr>
        <w:tc>
          <w:tcPr>
            <w:tcW w:w="3280" w:type="dxa"/>
            <w:vAlign w:val="bottom"/>
          </w:tcPr>
          <w:p>
            <w:pPr>
              <w:spacing w:after="0"/>
              <w:rPr>
                <w:sz w:val="22"/>
                <w:szCs w:val="22"/>
                <w:color w:val="auto"/>
              </w:rPr>
            </w:pPr>
          </w:p>
        </w:tc>
        <w:tc>
          <w:tcPr>
            <w:tcW w:w="2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37"/>
        </w:trPr>
        <w:tc>
          <w:tcPr>
            <w:tcW w:w="32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17,642,832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conversion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64,127</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9,839,794</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10,968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11,715</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(15,282)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(15,282)</w:t>
            </w: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31 March, 2025</w:t>
            </w:r>
          </w:p>
        </w:tc>
        <w:tc>
          <w:tcPr>
            <w:tcW w:w="112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27,546,753</w:t>
            </w: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136,849</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(125,953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7,403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0"/>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59"/>
        </w:trPr>
        <w:tc>
          <w:tcPr>
            <w:tcW w:w="3280" w:type="dxa"/>
            <w:vAlign w:val="bottom"/>
          </w:tcPr>
          <w:p>
            <w:pPr>
              <w:spacing w:after="0"/>
              <w:rPr>
                <w:sz w:val="22"/>
                <w:szCs w:val="22"/>
                <w:color w:val="auto"/>
              </w:rPr>
            </w:pPr>
          </w:p>
        </w:tc>
        <w:tc>
          <w:tcPr>
            <w:tcW w:w="2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36"/>
        </w:trPr>
        <w:tc>
          <w:tcPr>
            <w:tcW w:w="32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17,785,235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gridSpan w:val="2"/>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conversion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64,127</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9,697,391</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10,726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(3,968)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(3,968)</w:t>
            </w: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31 March 2025</w:t>
            </w:r>
          </w:p>
        </w:tc>
        <w:tc>
          <w:tcPr>
            <w:tcW w:w="112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27,546,753</w:t>
            </w: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136,849</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(125,953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7,403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(15,282)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(11,998)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foreign currency remeasurement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338</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expense of ELOC commitment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rights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994</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incentive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2,222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pledged as securities for short-term debt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(1,397)</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received from facility agreement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4,282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facility agreement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(2,898)</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share issuance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12,446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issuance costs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(744)</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 issuance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convertible debt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(3,833)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755</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(12,447)</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5,858</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22,120</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6,711</w:t>
            </w:r>
          </w:p>
        </w:tc>
        <w:tc>
          <w:tcPr>
            <w:tcW w:w="220" w:type="dxa"/>
            <w:vAlign w:val="bottom"/>
            <w:tcBorders>
              <w:top w:val="single" w:sz="8" w:color="CCEEFF"/>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9,335</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ELOC warrants at initial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convertible note warrants at initial fair value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conversion rights at initial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Series A warrants at initial fair value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2,843</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Partial conversion of convertible note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4,372</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Re-domiciliation and Business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Incannex Healthcare Inc. (the “Company”) is a corporation formed under the laws of Delaware in July 2023. In November 2023, Incannex Healthcare Inc. acquired all the outstanding ordinary shares of Incannex Healthcare Limited, an Australian corporation (“Incannex Australia”), pursuant to a scheme of arrangement under Australian law (the “Re-domiciliation”). As a result of the Re-domiciliation, Incannex Australia became a wholly-owned subsidiary of Incannex Healthcare Inc., which is the new ultimate parent company.</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Until the Re-domiciliation, Incannex Australia’s ordinary shares were listed on the Australian Securities Exchange (“ASX”) and American Depositary Shares (“ADSs”), each representing 25 ordinary shares of Incannex Australia, traded on Nasdaq. Following completion of the Re-domiciliation, Incannex Australia’s ordinary shares were delisted from the ASX and Incannex Healthcare Inc. assumed Incannex Australia’s listing on Nasdaq.</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Re-domiciliation, holders of Incannex Australia’s ordinary shares received one share of common stock in Incannex Healthcare Inc. for every 100 ordinary shares held in Incannex Australia and holders of ADSs in Incannex Australia received one share of common stock of Incannex Healthcare Inc. for every 4 ADSs held in Incannex Australia.</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issued and outstanding shares of the Company’s common stock as shown in this report have been adjusted in the consolidated financial statements to reflect the 100:1 exchange ratio as if it had occurred on July 1,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Incannex Healthcare Inc. and its subsidiaries are referred to as “the Company” unless the text otherwise requires.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fiscal year end is June 30. References to a particular “fiscal year” are to the Company’s fiscal year ended June 30 of that calendar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are presented in United States dollars and consist of Incannex Healthcare Inc. and the following wholly-owned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62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16"/>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Healthcare Limited</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Incannex Pty Ltd</w:t>
            </w:r>
          </w:p>
        </w:tc>
        <w:tc>
          <w:tcPr>
            <w:tcW w:w="46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Pty Ltd</w:t>
            </w:r>
          </w:p>
        </w:tc>
        <w:tc>
          <w:tcPr>
            <w:tcW w:w="462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APIRx Pharmaceutical USA, LLC</w:t>
            </w:r>
          </w:p>
        </w:tc>
        <w:tc>
          <w:tcPr>
            <w:tcW w:w="462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Delaware, United States of America</w:t>
            </w: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APIRx Pharmaceuticals Holding BV</w:t>
            </w:r>
          </w:p>
        </w:tc>
        <w:tc>
          <w:tcPr>
            <w:tcW w:w="462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IJsselstein, Netherlands</w:t>
            </w: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Clarion Clinics Group Pty Ltd</w:t>
            </w:r>
          </w:p>
        </w:tc>
        <w:tc>
          <w:tcPr>
            <w:tcW w:w="46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Clarion Model Clinic Pty Ltd</w:t>
            </w:r>
          </w:p>
        </w:tc>
        <w:tc>
          <w:tcPr>
            <w:tcW w:w="462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Psychennex Licensing and Franchising Pty Ltd</w:t>
            </w:r>
          </w:p>
        </w:tc>
        <w:tc>
          <w:tcPr>
            <w:tcW w:w="46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41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tc>
        <w:tc>
          <w:tcPr>
            <w:tcW w:w="46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40" w:firstLine="648"/>
        <w:spacing w:after="0" w:line="274" w:lineRule="auto"/>
        <w:rPr>
          <w:sz w:val="20"/>
          <w:szCs w:val="20"/>
          <w:color w:val="auto"/>
        </w:rPr>
      </w:pPr>
      <w:r>
        <w:rPr>
          <w:rFonts w:ascii="Times New Roman" w:cs="Times New Roman" w:eastAsia="Times New Roman" w:hAnsi="Times New Roman"/>
          <w:sz w:val="17"/>
          <w:szCs w:val="17"/>
          <w:color w:val="auto"/>
        </w:rPr>
        <w:t>On November 28, 2023, the Company implemented the transaction to redomicile from Australia to United States and became the parent of Incannex Australia and the wholly owned subsidiaries listed in Note 1. The historical financial statements of Incannex Australia became the historical financial statements of the combined company upon consummation of the Re-domiciliation. As a result, the financial statements included in this report reflect (i) the historical operating results of Incannex Australia and subsidiaries prior to the Re-domiciliation; (ii) the combined results of the Company, Incannex Australia, and subsidiaries following the completion of the Re-domiciliation; and (iii) the Company’s equity structure for all periods presented, including adjusting the issued and outstanding shares of common stock to reflect the 100:1 exchange ratio as if it had occurred on July 1, 2022.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contained in this Quarterly Report on Form 10-Q have been prepared in accordance with accounting principles generally accepted in the United States (“US GAAP”) and pursuant to the rules and regulations of the SEC. Prior to the Re-domiciliation, Incannex Australia reported its consolidated financial statements in accordance with International Financial Reporting Standards (“IFRS”). Following the Re-domiciliation, the Company transitioned to US GAAP and applied US GAAP retrospectively for all prior periods presented.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Reference is frequently made herein to the Financial Accounting Standards Board (the “FASB”) Accounting Standards Codification (“ASC”). This is the source of authoritative US GAAP recognized by the FASB to be applied to non-governmental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jc w:val="both"/>
        <w:ind w:right="120" w:firstLine="648"/>
        <w:spacing w:after="0" w:line="255"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consolidated financial statements contain all adjustments, consisting of only normal recurring adjustments, necessary for a fair statement of its financial position as of March 31, 2025, and its results of operations for the three and nine months ended March 31, 2025, and 2024, and cash flows for the nine months ended March 31, 2025, and 2024. The Company has condensed or omitted certain information and note disclosures normally included in financial statements prepared in accordance with GAAP pursuant to the applicable required disclosures and regulations of the SEC. As such, these unaudited condensed consolidated financial statements should be read in conjunction with the Company’s audited financial statements and accompanying notes included in the Company’s Annual Report on Form 10-K for the year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Basis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believes there is substantial doubt about its ability to obtain additional capital when and as needed to continue as a going concern as previously disclosed in the 2024 Annual Report. The Company has not yet established an ongoing source of revenue sufficient to cover its operating and capital expenditure requirements and to cover any potential payments that may become due and payable pursuant to any debentures to provide sufficient certainty that the Company will continue as a going concern. Historically, the Company has financed its operations to date primarily through partnerships, funds received from public offerings of Common Stock, a debt financing facility, as well as funding from governmental bodies. The Company plan to address this condition through the sale of Common Stock in public offerings and/or private placements, debt financings, or through other capital sources, including collaborations with other companies or other strategic transactions, but there is no assurance these plans will be completed successfully or at all. Pursuant to the requirements of ASC 205-40, Presentation of Financial Statements - Going Concern, and as a result of the financial condition and other factors described herein, there is substantial doubt about the Company’s ability to continue as a going concern for a period of at least twelve months from the date of this Quarterly Report.</w:t>
      </w:r>
    </w:p>
    <w:p>
      <w:pPr>
        <w:spacing w:after="0" w:line="194"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The Company’s independent auditor included a going concern opinion in its audit report, which is part of the 2024 Annual Report, raising substantial doubt about the Company’s ability to continue as a going concern. This doubt may adversely impact the Company’s ability to secure additional financing necessary for its business operations and could materially affect its ability to enter into contractual relationships with third parties. Uncertainty about the Company’s ability to continue as a going concern could materially and adversely affect its liquidity, financial condition, and business prospects.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Details of all controlled entities are set out in Note 1. All intercompany balances and transactions have been eliminated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impact the reported amounts of assets, liabilities and expenses and the disclosure of contingent assets and liabilities in the Company’s unaudited condensed consolidated financial statements and accompanying notes.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most significant estimates and assumptions in the Company’s unaudited condensed consolidated financial statements include the valuation of equity-based instruments issued, accrued research and development expense, and the research and development tax credit. Estimates are periodically reviewed in light of changes in circumstances, facts and experience. Changes in estimates are recorded in the period in which they become known. Actual results could differ materially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companies in the biopharmaceutical industry. The Company believes that changes in any of the following areas could have a material adverse effect on future financial position or results of operations: ability to obtain future financing; regulatory approval and market acceptance of, and reimbursement for, product candidates; performance of third-party clinical research organizations and manufacturers upon which the Company relies; protection of the Company’s intellectual property; litigation or claims against the Company based on intellectual property, patent, product, regulatory or other factors; the Company’s ability to attract and retain employees.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provided to update the Company’s significant accounting policies previously disclosed in Note 2 to the Consolidated Financial Statements described in the Company’s 2024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Equity-Line of Credit Purchase Agreement</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September 6, 2024, the Company entered into an equity line of credit Purchase Agreement (the “ELOC Purchase Agreement”) with Arena Business Solutions Global SPC II, Ltd (“Arena Global”). Under the ELOC Purchase Agreement, Arena Global has committed to purchase up to $50 million of the Company’s Common Stock par value $0.0001 per share (the “Common Stock”), at the Company’s direction from time to time, subject to the satisfaction of the conditions in the ELOC Purchase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purchase price per share of Common Stock is obtained by multiplying by 96% the daily volume weighted average price (“VWAP”) on The Nasdaq Global Market (“Nasdaq”) for the trading day specified in the sale notice (same trading day or one trading day following such notice) delivered to Arena Global. The ELOC Purchase Agreement will terminate automatically upon the earliest to occur of (i) the first day of the month next following the 36-month anniversary of the date of the ELOC Purchase Agreement; or (ii) the date on which Arena Global shall have purchased shares of Common Stock under the ELOC Purchase Agreement for an aggregate gross purchase price equal to the Commitment Amount (as defined in the ELOC Purchase Agreement). We have also agreed to pay a financial advisor up to 7% of the gross proceeds raised under the ELOC Agreement.</w:t>
      </w:r>
    </w:p>
    <w:p>
      <w:pPr>
        <w:spacing w:after="0" w:line="18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On December 9, 2024, in connection with the ELOC Purchase Agreement, the Company issued 142,403 shares of Common Stock as a commitment fee to Arena Global. On January 16, 2025 the Company issued 10,346 true-up shares of Common Stock to Arena Global. The Company evaluated that the costs incurred in connection with the commitment fee and the true-up shares do not meet the definition of an asset and, therefore, are expensed as incurred.</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additional consideration for Arena Global’s execution and delivery of the ELOC Purchase Agreement, the Company issued a five-year warrant (the “ELOC Warrant”) on October 31, 2024, exercisable for 585,000 shares of Common Stock with an exercise price equal to $1.66 per share.</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our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in the Consolidated Statements of Operations and Comprehensive Loss.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12 for the accounting of the ELOC Purchase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Debenture Financing</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6, 2024, the Company entered into a Securities Purchase Agreement (the “September 2024 Purchase Agreement”) with Arena Investors, LP (“Arena Investors”), which provides for the issuance of secured convertible debentures in an aggregate principal amount of up to $10 million at an aggregate purchase price of up to $9 million (a 10% original issue discount), divided into three separate tranches, each subject to closing conditions. Under the September 2024 Purchase Agreement, the conversion price of each secured convertible debenture will equal 115% of the closing price of the Common Stock on the trading day preceding the date of the issuance of the respective secured convertible debenture, subject to subsequent adjustments and alternative conversion prices based on the then-current trading price of the Common Stock on Nasdaq, as further detailed in the September 2024 Purchase Agreement. For each secured convertible debenture purchased under the September 2024 Purchase Agreement, the Company will also issue a warrant to the purchaser, exercisable to purchase up to the number of shares of Common Stock equal to 25% of the total principal amount of the related secured convertible debenture, divided by 115% of the closing price of the Company’s Common Stock on the trading day immediately preceding the applicable closing date. The Company is not obligated to issue warrants for any tranche that does not close. The exercise price of each warrant will be 115% of the closing price of the Common Stock on the issuance date, and the warrants will have a five-year term. Additionally, the Company has agreed to pay a financial advisor up to 7% of the gross proceeds raised under the September 2024 Purchase Agreement.</w:t>
      </w:r>
    </w:p>
    <w:p>
      <w:pPr>
        <w:spacing w:after="0" w:line="19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completed the closing of the first tranche under the September 2024 Purchase Agreement for the issuance of a 10% original issue discount secured convertible debenture (the “First Tranche Debenture”) in the principal amount of $3,333,333 at an aggregate purchase price of $3 million (a 10% original issue discount) to Arena Special Opportunities (Offshore) Master II LP (“Arena Opportunities”). The First Tranche Debenture provides for a payment-in-kind interest rate at 5% and matures on April 14, 2026. In addition, the Company issued a warrant to Arena Investors exercisable for up to 453,749 shares of Common Stock (the “First Tranche Warrant”), at an exercise price of $1.89 per share.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net proceeds received from the issuance of the First Tranche Debenture, after deduction of expenses reimbursable to the Arena Investors, was $2,877,588.</w:t>
      </w:r>
    </w:p>
    <w:p>
      <w:pPr>
        <w:spacing w:after="0" w:line="162"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The Company did not meet the closing conditions for the second and third tranche closings set forth in the September 2024 Purchase Agreement; however, the Company and Arena Investors may conduct additional closings under the September 2024 Purchase Agreement, subject to mutual agreement and the closing conditions described therein. There can be no assurance that the parties will reach such an agreement for additional tranche closings.</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November 6, 2024, and as required by our agreements in connection with the First Tranche Debenture, the Company filed a resale Registration Statement on Form S-1/A with the SEC, registering for resale up to 61,389,758 shares of Common Stock, including up to 10,101,009 shares of Common Stock issuable upon conversion of the First Tranche Debenture and up to 453,749 shares of Common Stock issuable upon the exercise of the First Tranche Warrant. This registration statement was declared effective on December 6, 2024.</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its convertible instruments and warrants to determine if those contracts or embedded components of those contracts qualify as derivatives to be separately accounted for under ASC 815, Derivatives and Hedging. The classification of derivative instruments, including whether such instruments should be recorded as assets, liabilities, or equity, is reassessed at the end of each reporting period. For equity-linked financial instruments, the Company must determine whether the underlying instrument is indexed to its own Common Stock in order to classify the derivative instrument as equity. Otherwise, the derivative asset or liability, including embedded derivatives, is recognized at fair value with subsequent changes in fair value recognized in the consolidated statements of operations and comprehensive income (loss).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hybrid instruments, ASC 815-15 requires bifurcation of embedded features if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The nature of the host instrument is therefore evaluated to determine if it is more akin to a debt-like or equity-like host. In this assessment, the Company considers the stated and implied substantive features of the contract as well as the economic characteristics and risks of the hybrid instrument. Each term and feature are then weighed based on the relevant facts and circumstances to determine the nature of the host contract. Terms and features of the hybrid.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5 February, 2025, Arena Investors converted a total of $100,000 debt into common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13, 2025 the Company repaid in full that certain outstanding Convertible Debenture, previously issued pursuant to that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Purchase Agreement dated as of September 6, 2024, by and between the Company and the Arena Investors, by making a cash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$3,851,111.00, representing the outstanding principal, interest, amounts and redemption premiums due as of February 28, 2025.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the Debenture, the Debenture Purchase Agreement, the Security Documents and that certain Equity Line Purchase Agreement,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 by and between the Company and Arena Investors were terminated except with respect to the indemnification and registration rights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therein. The (i) warrant to purchase up to 453,749 shares of the Company’s common stock, par value $0.0001 per share, previously issued to Arena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Investords, (ii) Registration Rights Agreement, dated as of October 14, 2025, by and between the Company and Arena Investors and (iii) warrant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up to 585,000 shares of common stock, previously issued to Arena Global pursuant to the Equity Line Purchase Agreement (the “ELOC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remain in effect.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12 for the accounting of the Convertible Debenture.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arrangement</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March 7, 2025, the Company entered into a private placement (the “Private Placement”) pursuant to a securities purchase agreement with certain institutional investors (the “Purchasers”) for the purchase and sale of approximately $12.5 million in gross proceeds of 9,687,045 shares of the Company’s common stock, par value $0.0001 per share (the “Common Stock”) for a purchase price of $1.08 per share of Common Stock (and, in lieu thereof, pre-funded warrant (the “Pre-Funded Warrants”) to purchase up to 1,887,045 shares (the “Pre-Funded Warrant Shares”) of Common Stock at a price of $1.0799 per Pre-Funded Warrant and Series A common stock warrants (the “Series A Warrants”) to purchase up to 11,574,090 shares of Common Stock at an initial exercise price of $2.16 per share.</w:t>
      </w:r>
    </w:p>
    <w:p>
      <w:pPr>
        <w:spacing w:after="0" w:line="187" w:lineRule="exact"/>
        <w:rPr>
          <w:sz w:val="20"/>
          <w:szCs w:val="20"/>
          <w:color w:val="auto"/>
        </w:rPr>
      </w:pPr>
    </w:p>
    <w:p>
      <w:pPr>
        <w:jc w:val="both"/>
        <w:ind w:right="100" w:firstLine="648"/>
        <w:spacing w:after="0" w:line="272" w:lineRule="auto"/>
        <w:rPr>
          <w:sz w:val="20"/>
          <w:szCs w:val="20"/>
          <w:color w:val="auto"/>
        </w:rPr>
      </w:pPr>
      <w:r>
        <w:rPr>
          <w:rFonts w:ascii="Times New Roman" w:cs="Times New Roman" w:eastAsia="Times New Roman" w:hAnsi="Times New Roman"/>
          <w:sz w:val="17"/>
          <w:szCs w:val="17"/>
          <w:color w:val="auto"/>
        </w:rPr>
        <w:t>The pre-funded warrants are exercisable for the same number of shares of common stock and may be exercised at any time until exercised in full at an exercise price of $0.0001. On March 10, 2025, the Company received substantially all the Pre-Funded Warrants proceeds upfront as part of the Pre-Funded Warrants’ purchase price and in return the Company is obligated to issue fixed number of 11,574,090 shares of Common Stock to the investors.</w:t>
      </w:r>
    </w:p>
    <w:p>
      <w:pPr>
        <w:spacing w:after="0" w:line="2"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Thus, Pre-Funded Warrants were accounted for and were classified as additional paid-in capital as part of the Company’s equity. Total incremental and direct issuance costs were deducted from additional paid-in-capital as they were allocated to shares of Common Stock and Pre-Funded Warrants.</w:t>
      </w:r>
    </w:p>
    <w:p>
      <w:pPr>
        <w:spacing w:after="0" w:line="1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Series A Warrants are classified as liabilities are accounted for at fair value and remeasured at each reporting date until exercise, expiration or modification that results in equity classification. Any change in the fair value of the warrants is recognized in the Consolidated Statements of Operations and Comprehensive Loss.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issuance of Common stock is recognized on its settlement date. Upon issuance, the common stock is recorded at its fair value.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12 for the accounting of the Series A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ASC 820, Fair Value Measurement and Disclosures (“ASC 820”),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225"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Valuations derived from valuation techniques in which one or more significant inputs or significant value drivers are unobservable.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Prepaid expenses and other 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86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Prepayments</w:t>
            </w:r>
            <w:r>
              <w:rPr>
                <w:rFonts w:ascii="Times New Roman" w:cs="Times New Roman" w:eastAsia="Times New Roman" w:hAnsi="Times New Roman"/>
                <w:sz w:val="28"/>
                <w:szCs w:val="28"/>
                <w:color w:val="auto"/>
                <w:vertAlign w:val="superscript"/>
              </w:rPr>
              <w:t>1</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GST recoverable</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416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36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Prepayments consist of prepaid clinical trial insurances, prepaid R&amp;D expenditure relating to PSX-001 and IHL-675A clinical trials and scientific, marketing, and adverting subscription services.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Assets pledged as security for short-term debt</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868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pledged as security for short-term debt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1,397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amount consists of R&amp;D tax incentive receivables, as detailed under Note 5, which have been pledged to FC Credit as part of the facility agreement detailed under Note 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R&amp;D tax incentive receivable</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868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receivable</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Due to multiple years of tax incentives being granted and successful lodgment of overseas findings on the Company’s lead assets, the Company changed its estimates for the R&amp;D tax incentive receivable, primarily based on historical experience of claims. These amounts exclude the portion of R&amp;D tax incentive receivable pledged as security for the facility agreement as detailed in Note 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0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fittings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recorded within general and administrative in the unaudited condensed consolidated statements of operations and comprehensive loss and amounted to $207 and $25 for the nine months ended March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Trade and other payables, accrued expenses and other current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3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13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13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9"/>
                <w:szCs w:val="19"/>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Current liabilities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8"/>
        </w:trPr>
        <w:tc>
          <w:tcPr>
            <w:tcW w:w="1300" w:type="dxa"/>
            <w:vAlign w:val="bottom"/>
            <w:tcBorders>
              <w:top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1,039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and other payables</w:t>
            </w:r>
          </w:p>
        </w:tc>
        <w:tc>
          <w:tcPr>
            <w:tcW w:w="11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1,067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4,358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4,512</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leave entitlements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4,718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Trade and other payables, accrued expenses and other current liabilities</w:t>
            </w:r>
          </w:p>
        </w:tc>
        <w:tc>
          <w:tcPr>
            <w:tcW w:w="1120" w:type="dxa"/>
            <w:vAlign w:val="bottom"/>
            <w:tcBorders>
              <w:bottom w:val="single" w:sz="8" w:color="auto"/>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w w:val="93"/>
              </w:rPr>
              <w:t>5,785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Trade and other payables are unsecured, non-interest bearing and are normally settled within 30 days. The carrying amounts are a reasonable approximation of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fiscal year 2023, the Company entered into three new lease agreements for its corporate head office in Sydney, Melbourne office and Clarion Clinic site. The leases have four, five and three-year terms respectively. These leases require monthly lease payments that may be subject to annual increases throughout the lease term. Certain of these leases also include renewal options at the election of the Company to renew or extend the lease for an additional three to five years. These optional periods have not been considered in the determination of the right-of-use assets or lease liabilities associated with these leases as the Company did not consider it reasonably certain it would exercise the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rates for the Company’s operating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 (years)</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1.57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2.32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9.18%</w:t>
            </w:r>
          </w:p>
        </w:tc>
        <w:tc>
          <w:tcPr>
            <w:tcW w:w="12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9.18%</w:t>
            </w:r>
          </w:p>
        </w:tc>
      </w:tr>
      <w:tr>
        <w:trPr>
          <w:trHeight w:val="432"/>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lease costs pertaining to the Company’s operating leases: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16"/>
        </w:trPr>
        <w:tc>
          <w:tcPr>
            <w:tcW w:w="860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11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60" w:type="dxa"/>
            <w:vAlign w:val="bottom"/>
            <w:tcBorders>
              <w:top w:val="single" w:sz="8" w:color="auto"/>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during the three months ended March 31, 2025 and fiscal year June 30, 2024 was $146 and $172 respectively, and was included within net cash used in operating activities in the cash flows.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minimum lease payments due under operating leases as of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the Company’s operating lease has a weighted-average remaining lease term of 1.57 years and a discount rate of 9.18%.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85"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loss contingency when it is probable that a liability has been incurred and the amount of the loss can be reasonably estimated. The Company also discloses material contingencies when it believes a loss is not probable but reasonably possible. Accounting for contingencies requires the Company to use judgment related to both the likelihood of a loss and the estimate of the amount or range of loss. Although the Company cannot predict with assurance the outcome of any litigation or tax matters, it does not believe there are currently any such actions that, if resolved unfavorably, would have a material impact on the Company’s operating results, financial position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equity/Issued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one class of common stock. In connection with the re-domiciliation, the Company’s amended and restated certificate of incorporation became effective, which provides for authorized the issuance of 100,000,000 authorized shares of common stock with a par value of $0.0001 per share, with one vote per share. Holders of common stock are entitled to receive any dividends as may be declared from time to time by the Company’s board of directors.</w:t>
      </w:r>
    </w:p>
    <w:p>
      <w:pPr>
        <w:spacing w:after="0" w:line="180" w:lineRule="exact"/>
        <w:rPr>
          <w:sz w:val="20"/>
          <w:szCs w:val="20"/>
          <w:color w:val="auto"/>
        </w:rPr>
      </w:pPr>
    </w:p>
    <w:p>
      <w:pPr>
        <w:ind w:right="780" w:firstLine="648"/>
        <w:spacing w:after="0" w:line="266" w:lineRule="auto"/>
        <w:rPr>
          <w:sz w:val="20"/>
          <w:szCs w:val="20"/>
          <w:color w:val="auto"/>
        </w:rPr>
      </w:pPr>
      <w:r>
        <w:rPr>
          <w:rFonts w:ascii="Times New Roman" w:cs="Times New Roman" w:eastAsia="Times New Roman" w:hAnsi="Times New Roman"/>
          <w:sz w:val="18"/>
          <w:szCs w:val="18"/>
          <w:color w:val="auto"/>
        </w:rPr>
        <w:t>On November 28, 2023, the Company effected the Re-domiciliation. All references in these unaudited condensed consolidated financial statements to the Company’s outstanding common stock, including per share information, have been retrospectively adjusted to reflect this Re-domiciliation.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Stock-based payments</w:t>
            </w:r>
          </w:p>
        </w:tc>
        <w:tc>
          <w:tcPr>
            <w:tcW w:w="4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5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5,584</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2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4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11 – Stock-based payments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restricted stock activity for the period ended March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Numbers of</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6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 expect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60" w:type="dxa"/>
            <w:vAlign w:val="bottom"/>
            <w:tcBorders>
              <w:bottom w:val="single" w:sz="8" w:color="CCEEFF"/>
            </w:tcBorders>
          </w:tcPr>
          <w:p>
            <w:pPr>
              <w:spacing w:after="0"/>
              <w:rPr>
                <w:sz w:val="21"/>
                <w:szCs w:val="21"/>
                <w:color w:val="auto"/>
              </w:rPr>
            </w:pPr>
          </w:p>
        </w:tc>
        <w:tc>
          <w:tcPr>
            <w:tcW w:w="40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June 30, 2024</w:t>
            </w:r>
          </w:p>
        </w:tc>
        <w:tc>
          <w:tcPr>
            <w:tcW w:w="40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651,939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27,795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September 30, 2024</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6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Numbers of</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6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 expect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60" w:type="dxa"/>
            <w:vAlign w:val="bottom"/>
            <w:tcBorders>
              <w:bottom w:val="single" w:sz="8" w:color="CCEEFF"/>
            </w:tcBorders>
          </w:tcPr>
          <w:p>
            <w:pPr>
              <w:spacing w:after="0"/>
              <w:rPr>
                <w:sz w:val="21"/>
                <w:szCs w:val="21"/>
                <w:color w:val="auto"/>
              </w:rPr>
            </w:pPr>
          </w:p>
        </w:tc>
        <w:tc>
          <w:tcPr>
            <w:tcW w:w="40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September 30, 2024</w:t>
            </w:r>
          </w:p>
        </w:tc>
        <w:tc>
          <w:tcPr>
            <w:tcW w:w="40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670,469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December 31, 2024</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6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Numbers of</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6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 expect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60" w:type="dxa"/>
            <w:vAlign w:val="bottom"/>
            <w:tcBorders>
              <w:bottom w:val="single" w:sz="8" w:color="CCEEFF"/>
            </w:tcBorders>
          </w:tcPr>
          <w:p>
            <w:pPr>
              <w:spacing w:after="0"/>
              <w:rPr>
                <w:sz w:val="21"/>
                <w:szCs w:val="21"/>
                <w:color w:val="auto"/>
              </w:rPr>
            </w:pPr>
          </w:p>
        </w:tc>
        <w:tc>
          <w:tcPr>
            <w:tcW w:w="40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December 31, 2024</w:t>
            </w:r>
          </w:p>
        </w:tc>
        <w:tc>
          <w:tcPr>
            <w:tcW w:w="40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670,469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March 31, 2025</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40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11 – Stock-based payments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stock options activity for the period ended March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07"/>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March 31, 2025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share options is calculated as the difference between the exercise price of the share options and the fair value of the Company’s shares of common stock for those share options that had exercise prices lower than the fair value of the Company’s shares of common stock.</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there was $57 of unrecognized compensation cost related to unvested share options, which is expected to be recognized over a weighted-average period of 0.3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12 – Fair value of Financial Instruments</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(including assets pledged as security for short-term debt and R&amp;D tax incentive receivable), prepaid expenses and other current assets, accounts payable, accrued expenses and current liabilities are reflected on the consolidated balance sheets at amounts that approximate fair value because of the short-term nature of these financial assets and liabilities.</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approximates its carrying value and is classified as Level 3 within the fair value hierarchy as it is based on discounted cash flows using a current borrowing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ELOC Purchase Agreement</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the ELOC Purchase Agreement to determine whether it should be accounted for considering the guidance in ASC 815-40, “Derivatives and Hedging - Contracts on an Entity’s Own Equity” (“ASC 815-40”) and concluded that it is an equity-linked contract that does not qualify for equity classification, and therefore requires fair value accounting as a derivative.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ELOC Purchase Agreement was terminated at March 13,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ELOC Warrants</w:t>
      </w:r>
    </w:p>
    <w:p>
      <w:pPr>
        <w:spacing w:after="0" w:line="22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Classification of the ELOC Warrants as liability instruments was based on management’s analysis of the guidance in ASC 815 and in a statement issued by the Staff of the SEC regarding the accounting and reporting considerations for warrants issued by special purpose acquisition companies entitled “Staff Statement on Accounting and Reporting Considerations for Warrants Issued by Special Purpose Acquisition Companies.”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considered whether the ELOC Warrants display the three characteristics of a derivative under ASC 815, and concluded that the ELOC Warrants meet the definition of a derivative. However, the ELOC Warrants fail to meet the equity scope exception in ASC 815-10-15-74(a) and thus are classified as a liability measured at fair value, subject to remeasurement at each reporting period. This is on the basis that the ELOC Warrant includes certain cash-settlement features in the event of a tender offer, which is outside the control of the company, and that the exercise price is denominated in a currency other than the reporting entity’s functional currency, and therefore the instrument is not considered indexed to the reporting entity’s own stock. The Company measures the ELOC Warrants as a liability at fair value as at each reporting period with changes in fair value recognized as other (income) expense, net in the consolidated statements of operations and comprehensive income (loss).</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ELOC Warrants were classified as a level 3 financial instrument in the fair value hierarchy and were valued using the Black-Scholes option pricing model (BSOPM). The following table presents the fair value of the ELOC Warrants and the valuation assumptions under the BSOPM as of March 31, 2025 and at inception.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At inception</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 (years)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Nil</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fair value of the ELOC Warrant liability were a decrease of $642k for the nine months ended March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12 – Fair value of Financial Instruments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Debentures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has accounted for the First Tranche Debenture as a financing transaction, wherein the net proceeds that were received were allocated to the financial instruments issued. Prior to making the accounting allocation, the Company evaluated the Convertible Debentures under ASC 815 Derivatives and Hedging (“ASC 815”). ASC 815 generally requires the analysis of embedded terms and features that have characteristics of derivatives to be evaluated for bifurcation and separate accounting in instances where their economic risks and characteristics are not clearly and closely related to the risks of the host contract.</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that the Conversion right meets the definition of a derivative under ASC 815-10-15-83. Further the Company evaluated that the Conversion right requires bifurcation from the debt host on the basis that it fails to meet the equity scope exception in ASC 815-10-15-74(a) and thus are classified as a liability measured at fair value, subject to remeasurement at each reporting period.</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that the First Tranche warrant is a detachable freestanding instrument. The First Tranche Warrant includes certain cash-settlement features in the event of a tender offer, which is outside the control of the company, and that the exercise price is denominated in a currency (USD) other than the reporting entity’s functional currency (AUD), and thus fails to meet the equity scope exception in ASC 815-10-15-74(a). Therefore the instrument is not considered indexed to the reporting entity’s own stock. As such the First Tranche Warrants are classified as a liability and measured at fair value, with changes in fair value each period reported in earnings.</w:t>
      </w:r>
    </w:p>
    <w:p>
      <w:pPr>
        <w:spacing w:after="0" w:line="18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proceeds from issuing the Convertible Debentures were allocated first to the First Tranche Warrants based on its fair value. The proceeds allocated to the debt instrument was then further allocated between the debt host contract and the bifurcated derivative based on the fair value of that derivative as prescribed by ASC 815-15-30-2.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proceeds of the transaction were initially allocated as follows: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63"/>
        </w:trPr>
        <w:tc>
          <w:tcPr>
            <w:tcW w:w="10020" w:type="dxa"/>
            <w:vAlign w:val="bottom"/>
          </w:tcPr>
          <w:p>
            <w:pPr>
              <w:spacing w:after="0"/>
              <w:rPr>
                <w:sz w:val="22"/>
                <w:szCs w:val="22"/>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 Original issue discount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Conversion rights (liability) at fair value</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Tranche Warrants (liability) at fair value</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liability host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Face value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Debt discount and the debt issuance costs were capitalized to the carrying amount of the debt. Such costs are presented on the balance sheet as a direct deduction from that debt liability host.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convertible debt was repaid in full on March 13, 2025, including the outstanding principal, interest, amounts and redemption premiums due as of February 28, 2025. The conversion rights is derecognized along with the debt repayment. The Company recognised a $994 loss on extinguishment of the debt host contract and the bifurcated derivative.</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First Tranche Warrants were classified as a level 3 financial instrument in the fair value hierarchy and were valued using the BSOPM. The following table presents the fair value of the First Tranche Warrants and the valuation assumptions under the BSOPM as of March 31, 2025 and at inception.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At inception</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4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0.68</w:t>
            </w:r>
          </w:p>
        </w:tc>
        <w:tc>
          <w:tcPr>
            <w:tcW w:w="4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 (years)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4.53</w:t>
            </w:r>
          </w:p>
        </w:tc>
        <w:tc>
          <w:tcPr>
            <w:tcW w:w="4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Nil</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changes in the fair value of the First Tranche Warrants liability were a decrease of $233k for the nine months ended March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12 – Fair value of Financial Instruments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Warrants</w:t>
      </w:r>
    </w:p>
    <w:p>
      <w:pPr>
        <w:spacing w:after="0" w:line="227" w:lineRule="exact"/>
        <w:rPr>
          <w:sz w:val="20"/>
          <w:szCs w:val="20"/>
          <w:color w:val="auto"/>
        </w:rPr>
      </w:pPr>
    </w:p>
    <w:p>
      <w:pPr>
        <w:ind w:right="600" w:firstLine="648"/>
        <w:spacing w:after="0" w:line="289" w:lineRule="auto"/>
        <w:rPr>
          <w:sz w:val="20"/>
          <w:szCs w:val="20"/>
          <w:color w:val="auto"/>
        </w:rPr>
      </w:pPr>
      <w:r>
        <w:rPr>
          <w:rFonts w:ascii="Times New Roman" w:cs="Times New Roman" w:eastAsia="Times New Roman" w:hAnsi="Times New Roman"/>
          <w:sz w:val="17"/>
          <w:szCs w:val="17"/>
          <w:color w:val="auto"/>
        </w:rPr>
        <w:t>Classification of the Series A Warrants as liability instruments was based on management’s analysis of the guidance in ASC 815 and in a statement issued by the Staff of the SEC regarding the accounting and reporting considerations for warrants issued by special purpose acquisition companies entitled “Staff Statement on Accounting and Reporting Considerations for Warrants Issued by Special Purpose Acquisition Companies.”</w:t>
      </w:r>
    </w:p>
    <w:p>
      <w:pPr>
        <w:spacing w:after="0" w:line="15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Management considered whether the Series A Warrants display the three characteristics of a derivative under ASC 815, and concluded that the Series A Warrants meet the definition of a derivative. However, the Series A Warrants fail to meet the equity scope exception in ASC 815-10-15-74(a) and thus are classified as a liability measured at fair value, subject to remeasurement at each reporting period. This is on the basis that the exercise price of the Series A Warrants is denominated in a currency other than the reporting entity’s functional currency, and therefore the instrument is not considered indexed to the reporting entity’s own stock. The Company measures the Series A Warrants as a liability at fair value as at each reporting period with changes in fair value recognized as other (income) expense, net in the Consolidated Statements of Operations and Comprehensive Income (Loss).</w:t>
      </w:r>
    </w:p>
    <w:p>
      <w:pPr>
        <w:spacing w:after="0" w:line="187"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The Series A Warrants were classified as a level 3 financial instrument in the fair value hierarchy and were valued using the BSOPM. The following table presents the fair value of the Series A Warrants and the valuation assumptions under the BSOPM as of March 31, 2025 and at inception.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At inception</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 (years)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Nil</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fair value of the Series A Warrant liability were a decrease of $781k for the nine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details of the Company’s debt as of the following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16"/>
        </w:trPr>
        <w:tc>
          <w:tcPr>
            <w:tcW w:w="4500" w:type="dxa"/>
            <w:vAlign w:val="bottom"/>
          </w:tcPr>
          <w:p>
            <w:pPr>
              <w:spacing w:after="0"/>
              <w:rPr>
                <w:sz w:val="18"/>
                <w:szCs w:val="18"/>
                <w:color w:val="auto"/>
              </w:rPr>
            </w:pPr>
          </w:p>
        </w:tc>
        <w:tc>
          <w:tcPr>
            <w:tcW w:w="55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45"/>
        </w:trPr>
        <w:tc>
          <w:tcPr>
            <w:tcW w:w="4500" w:type="dxa"/>
            <w:vAlign w:val="bottom"/>
          </w:tcPr>
          <w:p>
            <w:pPr>
              <w:spacing w:after="0"/>
              <w:rPr>
                <w:sz w:val="21"/>
                <w:szCs w:val="21"/>
                <w:color w:val="auto"/>
              </w:rPr>
            </w:pPr>
          </w:p>
        </w:tc>
        <w:tc>
          <w:tcPr>
            <w:tcW w:w="55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r>
      <w:tr>
        <w:trPr>
          <w:trHeight w:val="223"/>
        </w:trPr>
        <w:tc>
          <w:tcPr>
            <w:tcW w:w="4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460" w:type="dxa"/>
            <w:vAlign w:val="bottom"/>
            <w:tcBorders>
              <w:top w:val="single" w:sz="8" w:color="auto"/>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4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FC Credit – 14.5% Facility agreement due 2025</w:t>
            </w:r>
          </w:p>
        </w:tc>
        <w:tc>
          <w:tcPr>
            <w:tcW w:w="55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1,397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45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18</w:t>
            </w:r>
          </w:p>
        </w:tc>
        <w:tc>
          <w:tcPr>
            <w:tcW w:w="1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13 – Debt (continued)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FC Credit – 14.5% Facility agreement due 2025</w:t>
      </w:r>
    </w:p>
    <w:p>
      <w:pPr>
        <w:spacing w:after="0" w:line="22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On October 9, 2024, the Company entered into a Facility Agreement with FC Credit Pty Ltd, pursuant to which, on October 10, 2024, the Company received approximately A$6.9 million as the initial drawdown amount.</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facility provides Incannex with immediate access to funds based on R&amp;D expenses incurred during the 2023 and 2024 financial years, aligning with the end of the Australian financial year. The Research and Development Tax Incentive (“RDTI”) program is a key program under the Australian government's innovation framework, designed to encourage companies to undertake R&amp;D activities that benefit Australia. It offers a tax rebate, currently at 48.5%, for eligible R&amp;D expenses, allowing companies to recoup almost half of their R&amp;D spending.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2025, and March 31, 2024, respectively, the Company did not recognize a provision or benefit for income taxes as it incurred net losses. In addition, the net deferred tax assets generated from net operating losses were fully offset by a valuation allowance as the Company believes it is not more likely than not that the benefit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net loss per share attributable to stockholders was calculated as follows (in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5"/>
        </w:trPr>
        <w:tc>
          <w:tcPr>
            <w:tcW w:w="868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 (dollars per share)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The loss and weighted average number of common stock used in the calculation of basic loss per share is as follows: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(in thousands)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Weighted average number of common stock (number)</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18,238,863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8"/>
              </w:rPr>
              <w:t>15,873,113</w:t>
            </w:r>
          </w:p>
        </w:tc>
      </w:tr>
      <w:tr>
        <w:trPr>
          <w:trHeight w:val="607"/>
        </w:trPr>
        <w:tc>
          <w:tcPr>
            <w:tcW w:w="8680" w:type="dxa"/>
            <w:vAlign w:val="bottom"/>
          </w:tcPr>
          <w:p>
            <w:pPr>
              <w:spacing w:after="0"/>
              <w:rPr>
                <w:sz w:val="24"/>
                <w:szCs w:val="24"/>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 (dollars per share)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The loss and weighted average number of common stock used in the calculation of basic loss per share is as follows: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(in thousands)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Weighted average number of common stock (number)</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19,632,539</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8"/>
              </w:rPr>
              <w:t>15,873,113</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notes that the diluted loss per share is the same as basic loss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Transactions between related parties are on commercial terms and conditions, no more favorable than those available to other parties unless otherwise stated.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amounts payable to any related parties as of March 31, 2025 and June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unaudited condensed consolidated financial statements and notes thereto included elsewhere in this Quarterly Report on Form 10-Q (this “Quarterly Report”). This Quarterly Report contains forward-looking statements. This discussion and analysis contain forward looking statements and involves numerous risks and uncertainties, including, but not limited to, those described in the “Risk Factors” section in our Annual Report on Form 10-K, as filed with the SEC on September 30, 2024 (the “2024 Annual Report”) and this Quarterly Report. We caution the reader not to place undue reliance on these forward-looking statements, which reflect management’s analysis only as of the date of this Quarterly Report. We undertake no obligation to update forward-looking statements, which reflect events or circumstances occurring after the date of this Quarterly Report.</w:t>
      </w:r>
    </w:p>
    <w:p>
      <w:pPr>
        <w:spacing w:after="0" w:line="18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accounting policies under U.S. GAAP are referred to in Note 1 of the unaudited condensed consolidated financial statements in this Quarterly Report. All amounts are in United States dollars,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development company dedicated to developing innovative medicines for patients living with serious chronic diseases and significant unmet needs. Our lead drug candidates, which are currently in Phase 2/3 and Phase 2 clinical developments, include IHL-42X for the treatment of OSA; PSX-001, our psilocybin treatment in combination with psychological therapy in development to treat patients with GAD; and IHL-675A for rheumatoid arthritis. Each of these programs target conditions that currently have limited, inadequate, or no approved pharmaceutical treatment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Equity-Line of Credit Purchase Agreement</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On September 6, 2024, we entered into an equity line of credit Purchase Agreement (the “ELOC Purchase Agreement”) with Arena Business Solutions Global SPC II, Ltd (“Arena Global”). Under the ELOC Purchase Agreement Arena Global has committed to purchase up to $50 million of our common stock par value $0.0001 per share, at our direction from time to time, subject to the satisfaction of the conditions in the ELOC Purchase Agreement. The purchase price per share of our common stock is obtained by multiplying by 96% the daily volume weighted average price (“VWAP”) on The Nasdaq Global Market (“Nasdaq”) for the trading day specified in the sale notice (same trading day or one trading day following such notice) delivered to Arena Global. The ELOC Purchase Agreement will terminate automatically upon the earliest to occur of (i) the first day of the month next following the 36-month anniversary of the date of the ELOC Purchase Agreement; or (ii) the date on which Arena Global shall have purchased shares of our common stock under the ELOC Purchase Agreement for an aggregate gross purchase price equal to the Commitment Amount (as defined in the ELOC Purchase Agreement). In connection with the ELOC Purchase Agreement we agreed, among other things to issue to Arena Global, as a commitment fee, that number of shares of our common stock equal to 250,000 divided by the simple average of the daily VWAP of our common stock during the five trading days immediately preceding the effectiveness of a “shelf” registration statement on Form S-3 on which the estimated number of shares of our common stock are registered. As additional consideration for Arena Global’s execution and delivery of the ELOC Purchase Agreement, we issued on October 31, 2024, a five-year warrant (the “ELOC Warrant”) exercisable for 585,000 shares of our common stock with an exercise price equal to $1.66 per share. However, we may not sell common stock to Arena Global under the ELOC Purchase Agreement if (i) a shelf Registration Statement on Form S-3 that registers the common stock issuable under the ELOC Purchase Agreement has not been declared effective by the SEC; (ii) the number of shares of our common stock issuable to Arena Global pursuant to a sale notice causes the aggregate number of shares of our common stock beneficially owned by Arena Global and its affiliates would exceed 9.99% of the number of shares of our common stock then outstanding; (iii) the Shareholder Approval (as defined in the ELOC Purchase Agreement) to issue Common Stock in excess of the Exchange Cap (a cap limiting the issuance of shares pursuant to the ELOC Purchase Agreement and ELOC Warrant to 19.99% of the Company’s issued and outstanding shares on the date of the ELOC Purchase Agreement (3,526,802 shares of Common Stock) to the extent such prior stockholder approval would be required for compliance with the rules and regulations of Nasdaq); or (iv) such sale of shares of our common stock would exceed, during any 12-month period, one-third of the Company’s public float under the SEC’s “baby shelf” rule for SEC-registered transactions by an issuer with a public float under $75 million when using a “shelf” registration statement on Form S-3. On November 6, 2024, we filed a registration statement on Form S-3 (333-283025) registering for resale up to 61,389,758 shares of our common stock (the “Resale Registration Statement”), including the issuances to be made under the ELOC Purchase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 Financing</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September 6, 2024, we entered into that certain Securities Purchase Agreement (the “September 2024 Purchase Agreement”) with Arena Investors, LP (“Arena Investors”) pursuant to which we will issue secured convertible debentures in an aggregate principal amount of up to $10 million at an aggregate purchase price of up to $9 million, divided into three separate tranches that are each subject to closing conditions, with a 10% original issue discount (the “September 2024 Debentures”). The conversion price of each September 2024 Debenture would be equal to 115% of the closing price of our common stock on the trading day preceding the date of the issuance of the respective September 2024 Debenture, subject to adjustments related to the trading price of our common stock on Nasdaq.</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Pursuant to the September 2024 Purchase Agreement, we and certain of our subsidiaries (the “Subsidiaries”) and Arena Special Opportunities (Offshore) Master II LP (“Arena Opportunities”) entered into a security agreement effective as of October 14, 2024 (the “Security Agreement”), pursuant to which we (i) pledged the equity interests in the Subsidiaries and (ii) granted to Arena Opportunities a security interest in, among other items, all of our owned assets, whether currently owned or later acquired, and all proceeds therefrom (the “Assets”), as set forth in the Security Agreement. In addition, our Subsidiary, Incannex Healthcare Pty Ltd (IHPL) entered into a patent security agreement (the “Patent Security Agreement”) and a trademark security agreement (the “Trademark Security Agreement”), each effective as of October 14, 2024, pursuant to which IHPL granted to the investors a security interest in its patents, patent applications, and all proceeds therefrom and a security interest in its trademarks, trademark applications, and all proceeds therefrom, respectively. In addition, pursuant to the Security Agreement, the Subsidiaries granted to Arena Opportunities a security interest in its Assets and, pursuant to a Subsidiary Guarantee effective as of October 14, 2024 (the “Subsidiary Guarantee”), jointly and severally agreed to guarantee and act as surety for our obligation to repay the Debentures and other obligations under the other transaction documents.</w:t>
      </w:r>
    </w:p>
    <w:p>
      <w:pPr>
        <w:spacing w:after="0" w:line="1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additional consideration for the Purchaser’s purchase of each September 2024 Debenture, we will issue a warrant (a “September 2024 Debenture Warrant”), with a five year expiration, each exercisable for number of shares of our common stock equal to 25% of the total principal amount of the related September 2024 September 2024 Debenture purchased by the Purchaser on the applicable closing date divided by 115% of the closing price of our common stock on the trading day immediately preceding such closing date. We are not obligated to issue a September 2024 Debenture Warrant with respect to any September 2024 Debenture tranche that does not close. The exercise price of each September 2024 Debenture Warrant will be 115% of the closing price of our common stock on its issuance date.</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must register the shares of our common stock issuable upon conversion of the September 2024 Debentures and exercise of the September 2024 Debenture Warrants. However, the issuance of the common stock underlying the September 2024 Debenture and the September 2024 Debenture Warrants are subject to stockholder approval to the extent the issuance would exceed 19.99% of the number of shares of our common stock outstanding as of the date of the September 2024 Purchase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described in Note 16 of the Financial Statements included in this Quarterly Report, on October 17, 2024, we completed the closing of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for the issuance of a 10% original issue discount secured convertible debenture (the “First Tranche Debenture”) in the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$3,333,333 at an aggregate purchase price of $3 million, with 10% original issue discount and payment-in-kind interest rate at 5%, to Arena Opportunities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September 2024 Purchase Agreement. The First Tranche Debenture matures on April 14, 2026. In addition, we issued a warrant to Arena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exercisable for up to 453,749 shares of common stock (the “First Tranche Warrant”). The exercise price of the First Tranche Warrant is $1.89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net proceeds received from the issuance of the First Tranche Debenture, after deduction of expenses reimbursable to the Arena Investors, was $2,877,588.</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September 2024 Purchase Agreement, we and Arena Opportunities entered into a registration rights agreement (the “Registration Rights Agreement”), pursuant to which we agreed to file with the SEC a registration statement on Form S-3 after the closing of each tranche of the debenture to register for resale the shares of common stock issued upon conversion of the applicable debenture and the shares issuable upon exercise of any warrants issued in the applicable closing, within 20 calendar days after the closing date of the first tranche (the “Filing Deadline”) and to have such registration statement declared effective within 60 days after the Filing Deadline (or in the event of full review by the SEC, within 90 calendar days after the Filing Deadline). On November 6, 2024, we filed with the SEC the Resale Registration Statement, registering for resale up to 61,389,758 shares of common stock, including up to 10,101,009 shares of common stock issuable upon conversion of the First Tranche Debenture and up to 453,749 shares of common stock issuable upon the exercise of the First Tranche Warrant.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Agreement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October 9, 2024, we entered into a Facility Agreement (the “Facility Agreement”) with FC Credit Pty Ltd (“FC Credit”), pursuant to which FC Credit will provide a term loan facility for up to $4.7 million (the “Loan Facility”). On October 10, 2024, we received approximately $4.6 million as the initial drawdown amount, after deducting certain fees payable by us under the Facility Agreement. The Loan Facility has a term of 12 months from the date of the initial drawdown (the “Final Repayment Date”). Interest under the Loan Facility will accrue at the rate of 14.5% per annum and is payable on the last date of each calendar month and on the Final Repayment Date.</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facility provides us with immediate access to funds based on research and development expenses incurred during the 2023 and 2024 financial years, aligning with the end of the Australian financial year. The Research and Development Tax Incentive (“RDTI”) program is a key program under the Australian government's innovation framework, designed to encourage companies to undertake research and development activities that benefit Australia. It offers a tax rebate, currently at 48.5%, for eligible research and development expenses, allowing companies to recoup almost half of their research and development spending.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March 31, 2025 and 2024</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6"/>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(3,277)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(8,520)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(4,138)</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(9,302)</w:t>
            </w:r>
          </w:p>
        </w:tc>
        <w:tc>
          <w:tcPr>
            <w:tcW w:w="18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(11,777)</w:t>
            </w:r>
          </w:p>
        </w:tc>
        <w:tc>
          <w:tcPr>
            <w:tcW w:w="200" w:type="dxa"/>
            <w:vAlign w:val="bottom"/>
          </w:tcPr>
          <w:p>
            <w:pPr>
              <w:spacing w:after="0"/>
              <w:rPr>
                <w:sz w:val="20"/>
                <w:szCs w:val="20"/>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6"/>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(20,297</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3"/>
        </w:trPr>
        <w:tc>
          <w:tcPr>
            <w:tcW w:w="23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7"/>
                <w:szCs w:val="17"/>
                <w:color w:val="auto"/>
              </w:rPr>
            </w:pPr>
          </w:p>
        </w:tc>
        <w:tc>
          <w:tcPr>
            <w:tcW w:w="1340" w:type="dxa"/>
            <w:vAlign w:val="bottom"/>
            <w:gridSpan w:val="3"/>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(16,261)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(20,297)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4,036</w:t>
            </w:r>
          </w:p>
        </w:tc>
        <w:tc>
          <w:tcPr>
            <w:tcW w:w="2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R&amp;D tax incentive</w:t>
            </w:r>
          </w:p>
        </w:tc>
        <w:tc>
          <w:tcPr>
            <w:tcW w:w="1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2,188</w:t>
            </w:r>
          </w:p>
        </w:tc>
        <w:tc>
          <w:tcPr>
            <w:tcW w:w="1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8,150</w:t>
            </w:r>
          </w:p>
        </w:tc>
        <w:tc>
          <w:tcPr>
            <w:tcW w:w="20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exchange gains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convertible rights</w:t>
            </w:r>
          </w:p>
        </w:tc>
        <w:tc>
          <w:tcPr>
            <w:tcW w:w="12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(1,095)</w:t>
            </w:r>
          </w:p>
        </w:tc>
        <w:tc>
          <w:tcPr>
            <w:tcW w:w="1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other income /</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(expenses), net</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8,229</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71"/>
        </w:trPr>
        <w:tc>
          <w:tcPr>
            <w:tcW w:w="230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Currency translation</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12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2"/>
                <w:szCs w:val="22"/>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22"/>
                <w:szCs w:val="22"/>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22"/>
                <w:szCs w:val="22"/>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Customers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have generated revenue from Clarion Clinics for patient services for the three and nine months end March 31, 2025. However, we do not expect to generate material revenues unless and until our drug candidates are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and internal costs incurred in performing clinical and preclinical development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R&amp;D expenses include:</w:t>
      </w:r>
    </w:p>
    <w:p>
      <w:pPr>
        <w:spacing w:after="0" w:line="225" w:lineRule="exact"/>
        <w:rPr>
          <w:sz w:val="20"/>
          <w:szCs w:val="20"/>
          <w:color w:val="auto"/>
        </w:rPr>
      </w:pPr>
    </w:p>
    <w:p>
      <w:pPr>
        <w:ind w:left="980" w:right="2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incurred under agreements with CROs, contract manufacturers, consultants and other third parties to conduct and support our clinical trials and preclinical studies;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 R&amp;D personnel-related expenses such as salaries, and benefits, as well as allocated facilities costs and dues and subscriptions.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$0.5 million for the three months ended March 31, 2025 compared to the three months ended March 31, 2024. The decrease was primarily due to the completion of the IHL-42X safety and pharmacokinetics clinical trial and the pausing of patient recruitment in the Australian Phase 2 clinical trial for IHL-675A in rheumatoid arthritis. This decision was made to reallocate resources for the IHL675A program and focus on expanding research efforts in the United States, where an expedited regulatory pathway may be available. The primary R&amp;D expense for the period was the Phase 2/3 RePOSA clinical trial investigating IHL-42X in patients with OSA.</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$1.5 million for the nine months ended March 31, 2025 compared to the nine months ended March 31, 2024. The decrease was primarily due to the completion of the IHL-42X safety and pharmacokinetics clinical trial and the pausing of patient recruitment in the Australian Phase 2 clinical trial for IHL-675A in rheumatoid arthritis. This decision was made to reallocate resources for the IHL-675A program and focus on expanding research efforts in the United States, where an expedited regulatory pathway may be available. The primary R&amp;D expense for the period was the Phase 2/3 RePOSA clinical trial investigating IHL-42X in patients with OSA.</w:t>
      </w:r>
    </w:p>
    <w:p>
      <w:pPr>
        <w:spacing w:after="0" w:line="18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Although research and development activities are central to our business model, the successful development of our drug candidates is highly uncertain. There are numerous factors associated with the successful development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 stage clinical trials. As a result, we expect our research and development expenses will increase substantially in connection with our ongoing and planned clinical and preclinical development activities in the near term and in the future to the extent our development activities are successful. At this time, we cannot accurately estimate or know the nature, timing and costs of the efforts that will be necessary to complete the preclinical and clinical development of our drug candidates. Our research and development expenses have varied, and our future research and development expenses may vary, significantly based on a wide variety of factors such as:</w:t>
      </w:r>
    </w:p>
    <w:p>
      <w:pPr>
        <w:spacing w:after="0" w:line="194"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clinical trials and preclinical studies, including any modifications to clinical development plans based on feedback that we may receive from regulatory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drug candidates could significantly change the costs and timing associated with the development of that drug candidate. We may never succeed in obtaining regulatory approval for any drug candidate.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finance and accounting, human resources and other administrative functions, including salaries, stock-based compensation and benefits for employees, legal fees, expenses relating to patent and corporate matters and professional fees paid for accounting, auditing, consulting and tax services, as well as facilities-related costs not otherwise included in research and development expenses and other costs such as insurance costs and travel expenses.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$1.9 million for the three months ended March 31, 2025, compared to the three months ended March 31, 2024. The decrease was primarily attributable to a decrease in employee benefits, resulting from a reduction in the amount of restricted stock issued to our directors and officers.</w:t>
      </w:r>
    </w:p>
    <w:p>
      <w:pPr>
        <w:spacing w:after="0" w:line="17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$2.5 million for the nine months ended March 31, 2025, compared to the nine months ended March 31, 2024. The decrease was primarily attributable to a decrease in employee benefits, resulting from a reduction in the amount of restricted stock issued to our directors and officers.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research and development activities and preparing for potential commercialization of our drug candidates. We also anticipate we will incur increased accounting, audit, legal, regulatory, compliance, director and officer insurance, and investor and public relations expenses associated with operating as a U.S. public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R&amp;D tax credit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receive tax incentives from the Australian government for research and development activities. Subject to certain exclusions, the Australian Government tax incentives provide benefits for eligible research and development activities. Entities are entitled to either (i) a 48.5% refundable tax offset for eligible companies with an aggregated turnover of less than A$20 million per annum or (ii) a non-refundable 38.5% tax offset for all other eligible companies. Our aggregated turnover is less than A$20 million and not be controlled by one or more income tax exempt entities, we anticipate being entitled to a claim of 48.5% refundable tax offset for costs relating to eligible research and development activities during the year.</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Benefit from R&amp;D tax incentive decreased by $0.9 million for the three months ended March 31, 2025 compared to the three months ended March 31, 2024. The decrease was due to a lower estimate of our R&amp;D tax incentive receivable for the three months ended March 31, 2025.</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Benefit from R&amp;D tax incentive decreased by $6.0 million for the nine months ended March 31, 2025 compared to the nine months ended March 31, 2024. The decrease was due to a lower estimate of our R&amp;D tax incentive receivable for the nine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 and Interest Income</w:t>
      </w:r>
    </w:p>
    <w:p>
      <w:pPr>
        <w:spacing w:after="0" w:line="227" w:lineRule="exact"/>
        <w:rPr>
          <w:sz w:val="20"/>
          <w:szCs w:val="20"/>
          <w:color w:val="auto"/>
        </w:rPr>
      </w:pPr>
    </w:p>
    <w:p>
      <w:pPr>
        <w:jc w:val="both"/>
        <w:ind w:right="260" w:firstLine="648"/>
        <w:spacing w:after="0" w:line="312" w:lineRule="auto"/>
        <w:rPr>
          <w:sz w:val="20"/>
          <w:szCs w:val="20"/>
          <w:color w:val="auto"/>
        </w:rPr>
      </w:pPr>
      <w:r>
        <w:rPr>
          <w:rFonts w:ascii="Times New Roman" w:cs="Times New Roman" w:eastAsia="Times New Roman" w:hAnsi="Times New Roman"/>
          <w:sz w:val="17"/>
          <w:szCs w:val="17"/>
          <w:color w:val="auto"/>
        </w:rPr>
        <w:t>Foreign exchange losses decreased by $0.1 million for the three months ended March 31, 2025, compared to the three months ended March 31, 2024, due to favourable currency exchange rates. Interest income decreased over the same period, reflecting lower interest received from cash deposits.</w:t>
      </w:r>
    </w:p>
    <w:p>
      <w:pPr>
        <w:spacing w:after="0" w:line="14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Foreign exchange losses increased by $0.3 million for the nine months ended March 31, 2025 compared to the nine months ended March 31, 2024, due to unfavorable currency exchange rates. Interest income decreased over the same period, reflecting lower interest received from cash deposits.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 net of tax</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Currency translation adjustment, net of tax, decreased by $0.7 million for the three months ended March 31, 2025, compared to the three months ended March 31, 2024. The decrease was due to the depreciation of the Australian dollar against the U.S. dollar. We maintain our consolidated financial statements in Australian dollars, our functional currency, while our financial statements are translated into U.S. dollars for reporting purposes.</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Currency translation adjustment, net of tax decreased by $0.2 million for the nine months ended March 31, 2025, compared to the nine months ended March 31, 2024. The decrease was due to the depreciation of the Australian dollar against the U.S. dollar.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inception and expect to incur substantial and increasing losses in the future as we expand our R&amp;D activities in an effort to move our drug candidates into later stages of development. Historically, we have funded our operations primarily through the sale of equity securities, proceeds from the exercise of options, tax grants from R&amp;D activities and interest income.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incurred total comprehensive losses of $16.2 million and $12.4 million for the nine months ended March 31, 2025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respectively. We incurred net losses of $15.3 million and $12.0 million for the nine months ended March 31, 2025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respectively. As of March 31, 2025, we had accumulated deficit of $126.0 million.</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we had cash and cash equivalents of $6.7 million. We expect our negative cash flows from operating activities to continue and thus have determined that the losses and negative cash flows from operations and uncertainty in generating sufficient cash to meet our obligations and sustain our operations raise substantial doubt about our ability to continue as a going concern for at least one year from the issuance date of the financial statements included in this Quarterly Report. We do not currently have an update to our previously disclosed cash runway estimate. We have based our cash runway estimates on assumptions that may prove to be incorrect, and we could use our capital resources sooner than we currently expect.</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March 31, 2025, we experienced net cash used in operating activities of $11.0 million, a decrease of $1.2 million compared to the nine months ended March 31, 2024. As of March 31, 2025, we had cash and cash equivalents of $6.7 million, an increase of $0.8 million compared to our cash and cash equivalents as of June 30, 2024 of $5.9 million. As of March 31, 2025, our current assets exceed our current liabilities by $8.2 million, a $2.4 million decrease compared to the difference between our current assets and current liabilities as of June 30, 2024 of $10.6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Refer to Note 2 – Basis of Presentation and Summary of Significant Accounting Policies – Going Concern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for the nine months ended March 31, 2025 and nine months ended March 31,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24"/>
                <w:szCs w:val="24"/>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4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11,794</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Net (decrease)/increase in cash</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755</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(12,477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operating activities</w:t>
      </w:r>
    </w:p>
    <w:p>
      <w:pPr>
        <w:spacing w:after="0" w:line="227"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decreased by $1.2 million for the nine months ended March 31, 2025, compared to the nine months ended March 31, 2024. The decrease due to …</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investing activities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by $0.3 million for the nine months ended March 31, 2025 compared to the nine months ended March 31, 2024. The decrease was due to reduced spending on property, plant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financing activities increased by $11.8 million for the nine months ended March 31, 2025 and the nine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interim condensed consolidated financial statements as of March 31, 2025, which have been prepared in accordance with U.S. generally accepted accounting principles (“U.S. GAAP”). The preparation of these unaudited interim condensed consolidated financial statements requires our management to make judgments and estimates that affect the reported amounts of assets, liabilities, costs and expenses, and the disclosure of contingent assets and liabilities during the reporting periods.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described in the Company’s Annual Report on Form 10-K, we believe the following accounting policies are those most critical to the judgments and estimates used in the preparation of our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account for stock-based compensation arrangements with employees and non-employees using a fair value method which requires the recognition of compensation expense for costs related to all stock-based payments including share options. The fair value method requires us to estimate the fair value of stock-based payment awards on the date of grant using an option-pricing model. We use either the trinomial pricing or Black-Scholes option-pricing model to estimate the fair value of options granted. Stock-based compensation awards are expensed using the graded vesting method over the requisite service period, which is generally the vesting period, for each separately vesting tranche. We have elected a policy of estimating forfeitures at grant date. Option valuation models, including the trinomial pricing and Black-Scholes option-pricing model, require the input of several assumptions. These inputs are subjective and generally require significant analysis and judgment to develop.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salaries, benefits and other personnel related costs including equity-based compensation expense, laboratory supplies, preclinical studies, clinical trials and related clinical manufacturing costs, costs related to manufacturing preparations, fees paid to other entities to conduct certain research and development activities on our behalf and allocated facility and other related costs.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that will be used or rendered for future research and development activities are deferred and capitalized as prepaid expenses until the related goods are delivered or services are performed.</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record accrued liabilities for estimated costs of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includes these costs in trade and other payables on the consolidated balance sheets and within research and development expenses on the consolidated statements of operations and comprehensive loss.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accrue for these costs based on factors such as estimates of the work completed and in accordance with agreements established with its third-party service providers. We make significant judgments and estimates in determining the accrued liabilities balance at the end of each reporting period. As actual costs become known, we adjust our accrued liabilities. We have not experienced any material differences between accrued costs and actual costs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R&amp;D Tax Incentive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Benefit from R&amp;D tax credit consists of the R&amp;D tax credit received in Australia, which is recorded within other income (expense), net. The Company recognizes grants once both of the following conditions are met: (i) the Company is able to comply with the relevant conditions of the grant and (ii) the grant is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permitted to omit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as of the end of the period covered by this Quarterly Report, the effectiveness of the design and operation of our disclosure controls and procedures. Based upon that evaluation, our Chief Executive Officer and Chief Financial Officer concluded that, as of March 31, 2025, our disclosure controls and procedures were not effective at the reasonable assurance level due to the material weakness in internal control over financial reporting which existed as of March 31, 2025, relating to the documentation of accounting policies and procedures, particularly relating to the correct application of complex accounting measures as previously reported in our 2024 Annual Report.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March 31, 2025, relating to the documentation of accounting policies and procedures, particularly relating to the correct application of complex accounting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measures that we are undertaking to remediate the material weakness in internal control over financial reporting have and will include: (a) hiring qualified internal control personnel or consultants to manage the implementation of internal control policies, procedures and improvement of the internal audit function, as applicable; (b) developing and implementing written policies and procedures for accounting and financial reporting that meet the standards applied to public companies listed in the United States; and (c) conducting internal control training to management, key operations personnel and the accounting department, so that management and relevant personnel understand the requirements and elements of internal control over financial reporting mandated by the US securities laws.</w:t>
      </w:r>
    </w:p>
    <w:p>
      <w:pPr>
        <w:spacing w:after="0" w:line="18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believe we have made progress in accordance with our remediation plan even though the material weaknesses will not be considered remediated until we have completed implementing the necessary additional applicable controls and operate with them for a sufficient period of time to allow management and our auditors to concluded that these controls are operating effectively.</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cannot determine when our remediation plan will be fully completed and we cannot provide any assurance that these remediation efforts will be successful or that our internal control over financial reporting will be effective as a result of these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of the material weakness discussed above, there were no changes in our internal controls over financial reporting (as such term is defined in Rules 13a-15(d) and 15d-15(d) under the Exchange Act) that occurred during three months ended March 31, 2025 that have materially affected, or are reasonably likely to materially affect, our internal control over financial reporting.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4" w:name="page35"/>
    <w:bookmarkEnd w:id="3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set forth in Part I, Item 1A, “Risk Factors,” of the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adopted or terminated “Rule 10b5-1 trading arrangement” or “non-Rule 10b5-1 trading arrangement,” as each term is defined in Item 408 of Regulation S-K.</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73"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that immediately precedes the signature page to this report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960" w:type="dxa"/>
            <w:vAlign w:val="bottom"/>
            <w:tcBorders>
              <w:top w:val="single" w:sz="8" w:color="auto"/>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Deed of Amendment and Restatement to Scheme Implementation Deed, dated September 13, 2023, between Incannex Healthcare Limited</w:t>
              </w:r>
            </w:hyperlink>
          </w:p>
        </w:tc>
        <w:tc>
          <w:tcPr>
            <w:tcW w:w="140" w:type="dxa"/>
            <w:vAlign w:val="bottom"/>
            <w:tcBorders>
              <w:top w:val="single" w:sz="8" w:color="auto"/>
              <w:bottom w:val="single" w:sz="8" w:color="CCEEFF"/>
            </w:tcBorders>
            <w:gridSpan w:val="4"/>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40" w:type="dxa"/>
            <w:vAlign w:val="bottom"/>
            <w:tcBorders>
              <w:bottom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and Incannex Healthcare Inc. (incorporated by reference to Exhibit 2.1 of the Company’s Current Report on Form 8-K filed with the SEC</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on November 29,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Certificate of Incorporation, as filed with the Secretary of State of the State of Delaware on July 31,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(incorporated by reference to Exhibit 3.1 of the Company’s Current Report on Form 8-K filed with the SEC on November 29, 2023).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Amended and Restated Bylaws, dated November 20, 2023 (incorporated by reference to Exhibit 3.2 of the Company’s Current Report on</w:t>
              </w:r>
            </w:hyperlink>
          </w:p>
        </w:tc>
        <w:tc>
          <w:tcPr>
            <w:tcW w:w="22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8-K filed with the SEC on November 29, 2023).</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992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First Tranche Warrant (incorporated by reference to Exhibit 4.3 of the Company’s Registration Statement on Form S-3 filed with the SEC</w:t>
              </w:r>
            </w:hyperlink>
          </w:p>
        </w:tc>
        <w:tc>
          <w:tcPr>
            <w:tcW w:w="180" w:type="dxa"/>
            <w:vAlign w:val="bottom"/>
            <w:gridSpan w:val="6"/>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on November 6,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ELOC Warrant (incorporated by reference to Exhibit 4.4 of the Company’s Registration Statement on Form S-3 filed with the SEC on</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November 6, 2024).</w:t>
              </w:r>
            </w:hyperlink>
          </w:p>
        </w:tc>
        <w:tc>
          <w:tcPr>
            <w:tcW w:w="818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12"/>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99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of Series A Warrant (incorporated by reference to Exhibit 4.1 of the Company’s Current Report on Form 8-K filed with the SEC on</w:t>
              </w:r>
            </w:hyperlink>
          </w:p>
        </w:tc>
        <w:tc>
          <w:tcPr>
            <w:tcW w:w="200" w:type="dxa"/>
            <w:vAlign w:val="bottom"/>
            <w:gridSpan w:val="7"/>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March 10,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Pre-Funded Warrant (incorporated by reference to Exhibit 4.2 of the Company’s Current Report on Form 8-K f filed with the SEC</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on March 10, 2025)</w:t>
              </w:r>
              <w:r>
                <w:rPr>
                  <w:rFonts w:ascii="Times New Roman" w:cs="Times New Roman" w:eastAsia="Times New Roman" w:hAnsi="Times New Roman"/>
                  <w:sz w:val="18"/>
                  <w:szCs w:val="18"/>
                  <w:u w:val="single" w:color="auto"/>
                  <w:color w:val="000000"/>
                </w:rPr>
                <w:t>.</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97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of Securities Purchase Agreement (incorporated by reference to Exhibit 10.1 of the Company’s Current Report on Form 8-K filed</w:t>
              </w:r>
            </w:hyperlink>
          </w:p>
        </w:tc>
        <w:tc>
          <w:tcPr>
            <w:tcW w:w="320" w:type="dxa"/>
            <w:vAlign w:val="bottom"/>
            <w:gridSpan w:val="10"/>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6"/>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with the SEC on March 10,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976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Form of Registration Rights Agreement (incorporated by reference to Exhibit 10.2 of the Company’s Current Report on Form 8-K filed</w:t>
              </w:r>
            </w:hyperlink>
          </w:p>
        </w:tc>
        <w:tc>
          <w:tcPr>
            <w:tcW w:w="340" w:type="dxa"/>
            <w:vAlign w:val="bottom"/>
            <w:tcBorders>
              <w:bottom w:val="single" w:sz="8" w:color="CCEEFF"/>
            </w:tcBorders>
            <w:gridSpan w:val="11"/>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with the SEC on March 10,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gridSpan w:val="26"/>
          </w:tcPr>
          <w:p>
            <w:pPr>
              <w:spacing w:after="0" w:line="17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Form of Placement Agency Agreement (incorporated by reference to Exhibit 10.3 of the Company’s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the SEC on March 10, 2025).</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Sales Agreement (incorporated by reference to Exhibit 10.1 of the Company’s Current Report on Form 8-K filed with the SEC on April 7,</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2025).</w:t>
              </w:r>
            </w:hyperlink>
          </w:p>
        </w:tc>
        <w:tc>
          <w:tcPr>
            <w:tcW w:w="1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5400" w:type="dxa"/>
            <w:vAlign w:val="bottom"/>
            <w:tcBorders>
              <w:top w:val="single" w:sz="8" w:color="0000EE"/>
              <w:right w:val="single" w:sz="8" w:color="CCEEFF"/>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of the Securities Exchange Act of 1934, as amended.</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9300" w:type="dxa"/>
            <w:vAlign w:val="bottom"/>
            <w:tcBorders>
              <w:bottom w:val="single" w:sz="8" w:color="0000EE"/>
              <w:right w:val="single" w:sz="8" w:color="CCEEFF"/>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13a-14(a) of the Securities Exchange Act of 1934, as amended.</w:t>
            </w:r>
          </w:p>
        </w:tc>
        <w:tc>
          <w:tcPr>
            <w:tcW w:w="800" w:type="dxa"/>
            <w:vAlign w:val="bottom"/>
            <w:tcBorders>
              <w:bottom w:val="single" w:sz="8" w:color="CCEEFF"/>
            </w:tcBorders>
            <w:gridSpan w:val="1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020" w:type="dxa"/>
            <w:vAlign w:val="bottom"/>
            <w:tcBorders>
              <w:bottom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 Act</w:t>
            </w:r>
          </w:p>
        </w:tc>
        <w:tc>
          <w:tcPr>
            <w:tcW w:w="80" w:type="dxa"/>
            <w:vAlign w:val="bottom"/>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of 1934, as amended, and 18 U.S.C. Section 1350.</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13a-14(b) of the Securities Exchange Act of 1934, as amended, and 18</w:t>
            </w:r>
          </w:p>
        </w:tc>
        <w:tc>
          <w:tcPr>
            <w:tcW w:w="30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4280" w:firstLine="8"/>
        <w:spacing w:after="0" w:line="490" w:lineRule="auto"/>
        <w:tabs>
          <w:tab w:leader="none" w:pos="11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ind w:left="340" w:right="8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pursuant to Item 601(a)(5) of Regulation S-K. Copies of the omitted schedules will be furnished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 /s/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Joel Latham</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Director and President</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 /s/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Joseph Swan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877" w:right="6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Latham,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Incannex Healthcare Inc. (the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most recent fiscal quarter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Swan,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Incannex Healthcare Inc. (the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most recent fiscal quarter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Swan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 Treasurer and Secretary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Incannex Healthcare Inc. (the “Company”) on Form 10-Q for the quarter ended March 31, 2025 (the “Report”) as filed with the Securities and Exchange Commission on the date hereof, I, Joel Latham,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15, 2025</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Incannex Healthcare Inc. (the “Company”) on Form 10-Q for the quarter ended March 31, 2025 (the “Report”) as filed with the Securities and Exchange Commission on the date hereof, I, Joseph Swan,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15, 2025</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Swan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 Treasurer and Secretary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43" Type="http://schemas.openxmlformats.org/officeDocument/2006/relationships/hyperlink" Target="https://www.sec.gov/Archives/edgar/data/1873875/000121390023091083/ea189032ex2-1_incannex.htm" TargetMode="External"/><Relationship Id="rId44" Type="http://schemas.openxmlformats.org/officeDocument/2006/relationships/hyperlink" Target="https://www.sec.gov/Archives/edgar/data/1873875/000121390023091083/ea189032ex3-1_incannex.htm" TargetMode="External"/><Relationship Id="rId45" Type="http://schemas.openxmlformats.org/officeDocument/2006/relationships/hyperlink" Target="https://www.sec.gov/Archives/edgar/data/1873875/000121390023091083/ea189032ex3-2_incannex.htm" TargetMode="External"/><Relationship Id="rId46" Type="http://schemas.openxmlformats.org/officeDocument/2006/relationships/hyperlink" Target="https://www.sec.gov/Archives/edgar/data/1873875/000121390024094985/ea021980601ex4-3_incannex.htm" TargetMode="External"/><Relationship Id="rId47" Type="http://schemas.openxmlformats.org/officeDocument/2006/relationships/hyperlink" Target="https://www.sec.gov/Archives/edgar/data/1873875/000121390024094985/ea021980601ex4-4_incannex.htm" TargetMode="External"/><Relationship Id="rId48" Type="http://schemas.openxmlformats.org/officeDocument/2006/relationships/hyperlink" Target="https://www.sec.gov/Archives/edgar/data/1873875/000121390025022279/ea023369701ex4-1_incannex.htm" TargetMode="External"/><Relationship Id="rId49" Type="http://schemas.openxmlformats.org/officeDocument/2006/relationships/hyperlink" Target="https://www.sec.gov/Archives/edgar/data/1873875/000121390025022279/ea023369701ex4-2_incannex.htm" TargetMode="External"/><Relationship Id="rId50" Type="http://schemas.openxmlformats.org/officeDocument/2006/relationships/hyperlink" Target="http://www.sec.gov/Archives/edgar/data/1873875/000121390025022279/ea023369701ex10-1_incannex.htm" TargetMode="External"/><Relationship Id="rId51" Type="http://schemas.openxmlformats.org/officeDocument/2006/relationships/hyperlink" Target="https://www.sec.gov/Archives/edgar/data/1873875/000121390025022279/ea023369701ex10-2_incannex.htm" TargetMode="External"/><Relationship Id="rId52" Type="http://schemas.openxmlformats.org/officeDocument/2006/relationships/hyperlink" Target="https://www.sec.gov/Archives/edgar/data/1873875/000121390025022279/ea023369701ex10-3_incannex.htm" TargetMode="External"/><Relationship Id="rId53" Type="http://schemas.openxmlformats.org/officeDocument/2006/relationships/hyperlink" Target="https://www.sec.gov/Archives/edgar/data/1873875/000121390025029418/ea023731001ex10-1_incann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2025-05-15T06:41:31Z</dcterms:created>
  <dcterms:modified xsi:type="dcterms:W3CDTF">2025-05-15T06:41:31Z</dcterms:modified>
</cp:coreProperties>
</file>