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jc w:val="center"/>
        <w:ind w:left="3660" w:right="940" w:hanging="2712"/>
        <w:spacing w:after="0" w:line="500" w:lineRule="auto"/>
        <w:tabs>
          <w:tab w:leader="none" w:pos="11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2860" w:right="940" w:hanging="1919"/>
        <w:spacing w:after="0" w:line="500" w:lineRule="auto"/>
        <w:tabs>
          <w:tab w:leader="none" w:pos="1144"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FROM___________ TO__________</w:t>
      </w:r>
    </w:p>
    <w:p>
      <w:pPr>
        <w:spacing w:after="0" w:line="1" w:lineRule="exact"/>
        <w:rPr>
          <w:rFonts w:ascii="MS PGothic" w:cs="MS PGothic" w:eastAsia="MS PGothic" w:hAnsi="MS PGothic"/>
          <w:sz w:val="18"/>
          <w:szCs w:val="18"/>
          <w:color w:val="auto"/>
          <w:highlight w:val="black"/>
        </w:rPr>
      </w:pPr>
    </w:p>
    <w:p>
      <w:pPr>
        <w:ind w:left="42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001-41106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93-2403210</w:t>
            </w:r>
          </w:p>
        </w:tc>
      </w:tr>
      <w:tr>
        <w:trPr>
          <w:trHeight w:val="194"/>
        </w:trPr>
        <w:tc>
          <w:tcPr>
            <w:tcW w:w="55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 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Suite 105, 8 Century Circuit</w:t>
            </w:r>
          </w:p>
        </w:tc>
        <w:tc>
          <w:tcPr>
            <w:tcW w:w="5500" w:type="dxa"/>
            <w:vAlign w:val="bottom"/>
          </w:tcPr>
          <w:p>
            <w:pPr>
              <w:spacing w:after="0"/>
              <w:rPr>
                <w:sz w:val="24"/>
                <w:szCs w:val="24"/>
                <w:color w:val="auto"/>
              </w:rPr>
            </w:pPr>
          </w:p>
        </w:tc>
      </w:tr>
      <w:tr>
        <w:trPr>
          <w:trHeight w:val="216"/>
        </w:trPr>
        <w:tc>
          <w:tcPr>
            <w:tcW w:w="5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Norwest, NSW 2153</w:t>
            </w:r>
          </w:p>
        </w:tc>
        <w:tc>
          <w:tcPr>
            <w:tcW w:w="5500" w:type="dxa"/>
            <w:vAlign w:val="bottom"/>
          </w:tcPr>
          <w:p>
            <w:pPr>
              <w:spacing w:after="0"/>
              <w:rPr>
                <w:sz w:val="18"/>
                <w:szCs w:val="18"/>
                <w:color w:val="auto"/>
              </w:rPr>
            </w:pPr>
          </w:p>
        </w:tc>
      </w:t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Australia</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3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+61 409 840 786</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IXHL</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November12 2024, the registrant had 17,642,832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380" w:type="dxa"/>
            <w:vAlign w:val="bottom"/>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39"/>
        </w:trPr>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01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I—FINANCIAL INFORMATION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8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80" w:type="dxa"/>
            <w:vAlign w:val="bottom"/>
            <w:shd w:val="clear" w:color="auto" w:fill="CCEEFF"/>
          </w:tcPr>
          <w:p>
            <w:pPr>
              <w:spacing w:after="0"/>
              <w:rPr>
                <w:sz w:val="15"/>
                <w:szCs w:val="15"/>
                <w:color w:val="auto"/>
              </w:rPr>
            </w:pPr>
          </w:p>
        </w:tc>
        <w:tc>
          <w:tcPr>
            <w:tcW w:w="91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10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1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Loss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176"/>
        </w:trPr>
        <w:tc>
          <w:tcPr>
            <w:tcW w:w="8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5520" w:type="dxa"/>
            <w:vAlign w:val="bottom"/>
            <w:tcBorders>
              <w:top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w:t>
            </w:r>
          </w:p>
        </w:tc>
        <w:tc>
          <w:tcPr>
            <w:tcW w:w="3580" w:type="dxa"/>
            <w:vAlign w:val="bottom"/>
            <w:tcBorders>
              <w:top w:val="single" w:sz="8" w:color="CCEEFF"/>
            </w:tcBorders>
            <w:gridSpan w:val="2"/>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72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w:t>
            </w:r>
          </w:p>
        </w:tc>
        <w:tc>
          <w:tcPr>
            <w:tcW w:w="5380" w:type="dxa"/>
            <w:vAlign w:val="bottom"/>
            <w:tcBorders>
              <w:bottom w:val="single" w:sz="8" w:color="CCEEFF"/>
            </w:tcBorders>
            <w:gridSpan w:val="7"/>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5"/>
        </w:trPr>
        <w:tc>
          <w:tcPr>
            <w:tcW w:w="840" w:type="dxa"/>
            <w:vAlign w:val="bottom"/>
          </w:tcPr>
          <w:p>
            <w:pPr>
              <w:spacing w:after="0"/>
              <w:rPr>
                <w:sz w:val="15"/>
                <w:szCs w:val="15"/>
                <w:color w:val="auto"/>
              </w:rPr>
            </w:pPr>
          </w:p>
        </w:tc>
        <w:tc>
          <w:tcPr>
            <w:tcW w:w="9280" w:type="dxa"/>
            <w:vAlign w:val="bottom"/>
            <w:gridSpan w:val="20"/>
          </w:tcPr>
          <w:p>
            <w:pPr>
              <w:ind w:left="180"/>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80" w:type="dxa"/>
            <w:vAlign w:val="bottom"/>
            <w:tcBorders>
              <w:bottom w:val="single" w:sz="8" w:color="CCEEFF"/>
            </w:tcBorders>
            <w:shd w:val="clear" w:color="auto" w:fill="CCEEFF"/>
          </w:tcPr>
          <w:p>
            <w:pPr>
              <w:spacing w:after="0"/>
              <w:rPr>
                <w:sz w:val="17"/>
                <w:szCs w:val="17"/>
                <w:color w:val="auto"/>
              </w:rPr>
            </w:pPr>
          </w:p>
        </w:tc>
        <w:tc>
          <w:tcPr>
            <w:tcW w:w="646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6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20"/>
          </w:tcPr>
          <w:p>
            <w:pPr>
              <w:ind w:left="18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20"/>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02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II—OTHER INFORMATION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8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7760" w:type="dxa"/>
            <w:vAlign w:val="bottom"/>
            <w:tcBorders>
              <w:bottom w:val="single" w:sz="8" w:color="CCEEFF"/>
            </w:tcBorders>
            <w:gridSpan w:val="1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20"/>
          </w:tcPr>
          <w:p>
            <w:pPr>
              <w:ind w:left="18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80" w:type="dxa"/>
            <w:vAlign w:val="bottom"/>
            <w:shd w:val="clear" w:color="auto" w:fill="CCEEFF"/>
          </w:tcPr>
          <w:p>
            <w:pPr>
              <w:spacing w:after="0"/>
              <w:rPr>
                <w:sz w:val="17"/>
                <w:szCs w:val="17"/>
                <w:color w:val="auto"/>
              </w:rPr>
            </w:pPr>
          </w:p>
        </w:tc>
        <w:tc>
          <w:tcPr>
            <w:tcW w:w="91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5"/>
        </w:trPr>
        <w:tc>
          <w:tcPr>
            <w:tcW w:w="8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180" w:type="dxa"/>
            <w:vAlign w:val="bottom"/>
            <w:tcBorders>
              <w:top w:val="single" w:sz="8" w:color="CCEEFF"/>
            </w:tcBorders>
          </w:tcPr>
          <w:p>
            <w:pPr>
              <w:spacing w:after="0"/>
              <w:rPr>
                <w:sz w:val="15"/>
                <w:szCs w:val="15"/>
                <w:color w:val="auto"/>
              </w:rPr>
            </w:pPr>
          </w:p>
        </w:tc>
        <w:tc>
          <w:tcPr>
            <w:tcW w:w="434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4760" w:type="dxa"/>
            <w:vAlign w:val="bottom"/>
            <w:tcBorders>
              <w:top w:val="single" w:sz="8" w:color="CCEEFF"/>
            </w:tcBorders>
            <w:gridSpan w:val="6"/>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180" w:type="dxa"/>
            <w:vAlign w:val="bottom"/>
            <w:shd w:val="clear" w:color="auto" w:fill="CCEEFF"/>
          </w:tcPr>
          <w:p>
            <w:pPr>
              <w:spacing w:after="0"/>
              <w:rPr>
                <w:sz w:val="17"/>
                <w:szCs w:val="17"/>
                <w:color w:val="auto"/>
              </w:rPr>
            </w:pPr>
          </w:p>
        </w:tc>
        <w:tc>
          <w:tcPr>
            <w:tcW w:w="91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5"/>
        </w:trPr>
        <w:tc>
          <w:tcPr>
            <w:tcW w:w="8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80" w:type="dxa"/>
            <w:vAlign w:val="bottom"/>
            <w:tcBorders>
              <w:top w:val="single" w:sz="8" w:color="CCEEFF"/>
            </w:tcBorders>
          </w:tcPr>
          <w:p>
            <w:pPr>
              <w:spacing w:after="0"/>
              <w:rPr>
                <w:sz w:val="15"/>
                <w:szCs w:val="15"/>
                <w:color w:val="auto"/>
              </w:rPr>
            </w:pPr>
          </w:p>
        </w:tc>
        <w:tc>
          <w:tcPr>
            <w:tcW w:w="176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340" w:type="dxa"/>
            <w:vAlign w:val="bottom"/>
            <w:tcBorders>
              <w:top w:val="single" w:sz="8" w:color="CCEEFF"/>
            </w:tcBorders>
            <w:gridSpan w:val="11"/>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180" w:type="dxa"/>
            <w:vAlign w:val="bottom"/>
            <w:shd w:val="clear" w:color="auto" w:fill="CCEEFF"/>
          </w:tcPr>
          <w:p>
            <w:pPr>
              <w:spacing w:after="0"/>
              <w:rPr>
                <w:sz w:val="15"/>
                <w:szCs w:val="15"/>
                <w:color w:val="auto"/>
              </w:rPr>
            </w:pPr>
          </w:p>
        </w:tc>
        <w:tc>
          <w:tcPr>
            <w:tcW w:w="91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forward-looking statements within the meaning of Section 27A of the Securities Act of 1933, as amended, and Section 21E of the Securities Exchange Act of 1934, as amended, adopted pursuant to the Private Securities Litigation Reform Act of 1995. All statements other than statements of historical facts contained in this Quarterly Report,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189" w:lineRule="exact"/>
        <w:rPr>
          <w:sz w:val="20"/>
          <w:szCs w:val="20"/>
          <w:color w:val="auto"/>
        </w:rPr>
      </w:pPr>
    </w:p>
    <w:p>
      <w:pPr>
        <w:ind w:left="660" w:right="18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product development and business strategies, including our ability to continue to pursue development pathways and regulatory strategies for IHL-42X, PSX-001, and IHL-675A and any of our other drug candidates;</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product development and business strategies, including our ability to continue to pursue development pathways and regulatory strategies for IHL-42X, PSX-001, and IHL-675A and any of our other drug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market size and related future growth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(“R&amp;D”) activities, including clinical testing and manufacturing and the related costs and timing;</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required to conduct additional clinical studies or trials for our drug candidates and the consequences resulting from the delay in obtaining necessary regulatory approvals;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or likelihood of regulatory filings and approvals and our ability to obtain and maintain regulatory approvals for our drug candidates for any indication;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coverage and reimbursement of our drug candidates, if approved and commercialized;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drug candidates;</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around feedback from and discussions with regulators, regulatory development paths and with respect to Controlled Substances Act designation;</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patent rights and other intellectual property protection for our drug candidates, and to prevent competitors from using technologies we consider important to the successful development and commercialization of our drug candidates;</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revenues, financial performance and capital requirements, including the length of time our capital resources will sustain our operations;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drug candidates and to generate revenues;</w:t>
      </w:r>
    </w:p>
    <w:p>
      <w:pPr>
        <w:spacing w:after="0" w:line="22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including our ability to obtain the funding necessary to advance the development of our drug candidates and our ability to continue as a going concern;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provisions and requirements of our debt arrangements and to pay amounts owed, including any amounts that may be accelerated;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attract qualified employees, directors, consultants and advisors;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comply with applicable privacy laws and protect confidential information from security breaches;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recent and potential future changes in healthcare policy could negatively impact our business and financial condition;</w:t>
      </w:r>
    </w:p>
    <w:p>
      <w:pPr>
        <w:spacing w:after="0" w:line="225"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global economic and political developments, including existing regional conflicts, pandemics, natural disasters, and the indirect and/or long-term impact of inflation, will affect our business operations, clinical trials, or financial condition;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statement of assumptions underlying any of the foregoing.</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Quarterly Report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previously disclosed in Item IA in our Annual Report on Form 10-K, as filed with the SEC on September 30, 2024 (the “2024 Annual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The results, events and circumstances reflected in the forward-looking statements may not be achieved or occur, and actual results, events or circumstances could differ materially from those described in the forward-looking statements.</w:t>
      </w:r>
    </w:p>
    <w:p>
      <w:pPr>
        <w:spacing w:after="0" w:line="19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relate only to events as of the date on which the statements are made. We undertake no obligation to update any forward-looking statements made in this Quarterly Report to reflect events or circumstances after the date of this Quarterly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83"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We may announce material business and financial information to our investors using our investor relations website (https://www.incannex.com/investors/). We therefore encourage investors and others interested in our company to review the information that we make available on our website. Our website and information included in or linked to our website are not part of this Quarterly Report.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w w:val="99"/>
              </w:rPr>
              <w:t>INCANNEX HEALTHCARE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(unaudited)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w w:val="99"/>
              </w:rPr>
              <w:t>(in thousands, except share and per share amounts)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w w:val="99"/>
              </w:rPr>
              <w:t>(expressed in U.S. Dollars, unless otherwise stated)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24"/>
                <w:szCs w:val="24"/>
                <w:color w:val="auto"/>
              </w:rPr>
            </w:pPr>
          </w:p>
        </w:tc>
        <w:tc>
          <w:tcPr>
            <w:tcW w:w="10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June 30,</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489</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(“R&amp;D”) tax incentive receivable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11,093</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9,837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15,209</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16,202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411</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17,047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and other payables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7,487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9,232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9,453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Commitments and contingencies (Note 8)</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 100,000,000 shares authorized; 17,642,832 and 17,642,832 shares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at September 30, 2024 and June 30, 2024, respectively</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10,000,000 shares authorized; no shares issued or outstanding at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 2024 and June 30, 2024,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125,677</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125,218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(116,091)</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(110,671)</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(2,993)</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(3,332)</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6,595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11,217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16,048</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17,047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INCANNEX HEALTHCARE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(expressed in U.S. Dollars, unless otherwise stated)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5"/>
          </w:tcPr>
          <w:p>
            <w:pPr>
              <w:jc w:val="right"/>
              <w:ind w:right="301"/>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right"/>
              <w:ind w:right="741"/>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customers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(2,896)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(3,432)</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(6,254)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(4,892)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R&amp;D tax incentive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811</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4,097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gains/(losses)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before income tax expense</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(5,420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(726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(5,420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(726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Currency translation adjustment, net of tax</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339</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(5,081)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2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Weighted average number of shares outstanding, basic and diluted</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17,642,832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15,873,113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INCANNEX HEALTHCARE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Condensed Consolidated Statements of Stockholders’ Equity (Deficit)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U.S. Dollars, unless otherwise stated)</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140"/>
        <w:spacing w:after="0" w:line="260" w:lineRule="auto"/>
        <w:rPr>
          <w:sz w:val="20"/>
          <w:szCs w:val="20"/>
          <w:color w:val="auto"/>
        </w:rPr>
      </w:pPr>
      <w:r>
        <w:rPr>
          <w:rFonts w:ascii="Times New Roman" w:cs="Times New Roman" w:eastAsia="Times New Roman" w:hAnsi="Times New Roman"/>
          <w:sz w:val="18"/>
          <w:szCs w:val="18"/>
          <w:color w:val="auto"/>
        </w:rPr>
        <w:t>Balance at June 30, 2024 Stock-based compensation Net loss</w:t>
      </w:r>
    </w:p>
    <w:p>
      <w:pPr>
        <w:spacing w:after="0" w:line="2"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Currency translation adjustment, net of tax Balance at 30 September, 2024</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color w:val="auto"/>
                <w:w w:val="99"/>
              </w:rPr>
              <w:t>Foreign</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Additional</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color w:val="auto"/>
                <w:w w:val="98"/>
              </w:rPr>
              <w:t>currency</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Stockholders’</w:t>
            </w: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paid-in</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color w:val="auto"/>
                <w:w w:val="99"/>
              </w:rPr>
              <w:t>Accumulated</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color w:val="auto"/>
                <w:w w:val="99"/>
              </w:rPr>
              <w:t>translation</w:t>
            </w: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55"/>
        </w:trPr>
        <w:tc>
          <w:tcPr>
            <w:tcW w:w="23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capital</w:t>
            </w: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color w:val="auto"/>
                <w:w w:val="99"/>
              </w:rPr>
              <w:t>deficit</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color w:val="auto"/>
                <w:w w:val="99"/>
              </w:rPr>
              <w:t>reserve</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(Deficit)</w:t>
            </w:r>
          </w:p>
        </w:tc>
      </w:tr>
      <w:tr>
        <w:trPr>
          <w:trHeight w:val="237"/>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w:t>
            </w:r>
          </w:p>
        </w:tc>
        <w:tc>
          <w:tcPr>
            <w:tcW w:w="9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Amount</w:t>
            </w: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color w:val="auto"/>
                <w:w w:val="98"/>
              </w:rPr>
              <w:t>Amount</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color w:val="auto"/>
              </w:rPr>
              <w:t>Amount</w:t>
            </w: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Amount</w:t>
            </w:r>
          </w:p>
        </w:tc>
      </w:tr>
      <w:tr>
        <w:trPr>
          <w:trHeight w:val="223"/>
        </w:trPr>
        <w:tc>
          <w:tcPr>
            <w:tcW w:w="11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17,642,832</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7"/>
                <w:szCs w:val="17"/>
                <w:color w:val="auto"/>
              </w:rPr>
            </w:pPr>
          </w:p>
        </w:tc>
        <w:tc>
          <w:tcPr>
            <w:tcW w:w="11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125,218</w:t>
            </w:r>
          </w:p>
        </w:tc>
        <w:tc>
          <w:tcPr>
            <w:tcW w:w="220" w:type="dxa"/>
            <w:vAlign w:val="bottom"/>
          </w:tcPr>
          <w:p>
            <w:pPr>
              <w:spacing w:after="0"/>
              <w:rPr>
                <w:sz w:val="17"/>
                <w:szCs w:val="17"/>
                <w:color w:val="auto"/>
              </w:rPr>
            </w:pPr>
          </w:p>
        </w:tc>
        <w:tc>
          <w:tcPr>
            <w:tcW w:w="1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(110,671)</w:t>
            </w:r>
          </w:p>
        </w:tc>
        <w:tc>
          <w:tcPr>
            <w:tcW w:w="220" w:type="dxa"/>
            <w:vAlign w:val="bottom"/>
          </w:tcPr>
          <w:p>
            <w:pPr>
              <w:spacing w:after="0"/>
              <w:rPr>
                <w:sz w:val="17"/>
                <w:szCs w:val="17"/>
                <w:color w:val="auto"/>
              </w:rPr>
            </w:pPr>
          </w:p>
        </w:tc>
        <w:tc>
          <w:tcPr>
            <w:tcW w:w="1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(3,332)</w:t>
            </w:r>
          </w:p>
        </w:tc>
        <w:tc>
          <w:tcPr>
            <w:tcW w:w="220" w:type="dxa"/>
            <w:vAlign w:val="bottom"/>
          </w:tcPr>
          <w:p>
            <w:pPr>
              <w:spacing w:after="0"/>
              <w:rPr>
                <w:sz w:val="17"/>
                <w:szCs w:val="17"/>
                <w:color w:val="auto"/>
              </w:rPr>
            </w:pPr>
          </w:p>
        </w:tc>
        <w:tc>
          <w:tcPr>
            <w:tcW w:w="1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11,217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459</w:t>
            </w:r>
          </w:p>
        </w:tc>
      </w:tr>
      <w:tr>
        <w:trPr>
          <w:trHeight w:val="229"/>
        </w:trPr>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(5,420)</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(5,420)</w:t>
            </w:r>
          </w:p>
        </w:tc>
      </w:tr>
      <w:tr>
        <w:trPr>
          <w:trHeight w:val="241"/>
        </w:trPr>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339</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339</w:t>
            </w: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17,642,832</w:t>
            </w:r>
          </w:p>
        </w:tc>
        <w:tc>
          <w:tcPr>
            <w:tcW w:w="260" w:type="dxa"/>
            <w:vAlign w:val="bottom"/>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125,677</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(116,091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6,595</w:t>
            </w:r>
          </w:p>
        </w:tc>
        <w:tc>
          <w:tcPr>
            <w:tcW w:w="40" w:type="dxa"/>
            <w:vAlign w:val="bottom"/>
          </w:tcPr>
          <w:p>
            <w:pPr>
              <w:spacing w:after="0"/>
              <w:rPr>
                <w:sz w:val="19"/>
                <w:szCs w:val="19"/>
                <w:color w:val="auto"/>
              </w:rPr>
            </w:pPr>
          </w:p>
        </w:tc>
      </w:tr>
      <w:tr>
        <w:trPr>
          <w:trHeight w:val="21"/>
        </w:trPr>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-762635</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-479425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-187960</wp:posOffset>
            </wp:positionV>
            <wp:extent cx="71323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080" w:space="200"/>
            <w:col w:w="7960"/>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color w:val="auto"/>
                <w:w w:val="99"/>
              </w:rPr>
              <w:t>Foreign</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Additional</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color w:val="auto"/>
                <w:w w:val="98"/>
              </w:rPr>
              <w:t>currency</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Stockholders’</w:t>
            </w: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paid-in</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color w:val="auto"/>
                <w:w w:val="99"/>
              </w:rPr>
              <w:t>Accumulated</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color w:val="auto"/>
                <w:w w:val="99"/>
              </w:rPr>
              <w:t>translation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55"/>
        </w:trPr>
        <w:tc>
          <w:tcPr>
            <w:tcW w:w="3280" w:type="dxa"/>
            <w:vAlign w:val="bottom"/>
          </w:tcPr>
          <w:p>
            <w:pPr>
              <w:spacing w:after="0"/>
              <w:rPr>
                <w:sz w:val="22"/>
                <w:szCs w:val="22"/>
                <w:color w:val="auto"/>
              </w:rPr>
            </w:pPr>
          </w:p>
        </w:tc>
        <w:tc>
          <w:tcPr>
            <w:tcW w:w="274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Common Stock</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capital</w:t>
            </w: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color w:val="auto"/>
                <w:w w:val="99"/>
              </w:rPr>
              <w:t>deficit</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color w:val="auto"/>
                <w:w w:val="99"/>
              </w:rPr>
              <w:t>reserve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(Deficit)</w:t>
            </w:r>
          </w:p>
        </w:tc>
      </w:tr>
      <w:tr>
        <w:trPr>
          <w:trHeight w:val="237"/>
        </w:trPr>
        <w:tc>
          <w:tcPr>
            <w:tcW w:w="3280" w:type="dxa"/>
            <w:vAlign w:val="bottom"/>
          </w:tcPr>
          <w:p>
            <w:pPr>
              <w:spacing w:after="0"/>
              <w:rPr>
                <w:sz w:val="20"/>
                <w:szCs w:val="20"/>
                <w:color w:val="auto"/>
              </w:rPr>
            </w:pPr>
          </w:p>
        </w:tc>
        <w:tc>
          <w:tcPr>
            <w:tcW w:w="1380" w:type="dxa"/>
            <w:vAlign w:val="bottom"/>
            <w:tcBorders>
              <w:top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Share</w:t>
            </w:r>
          </w:p>
        </w:tc>
        <w:tc>
          <w:tcPr>
            <w:tcW w:w="11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Amount</w:t>
            </w:r>
          </w:p>
        </w:tc>
        <w:tc>
          <w:tcPr>
            <w:tcW w:w="24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Amount</w:t>
            </w: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color w:val="auto"/>
                <w:w w:val="98"/>
              </w:rPr>
              <w:t>Amount</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color w:val="auto"/>
              </w:rPr>
              <w:t>Amount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Amount</w:t>
            </w:r>
          </w:p>
        </w:tc>
      </w:tr>
      <w:tr>
        <w:trPr>
          <w:trHeight w:val="223"/>
        </w:trPr>
        <w:tc>
          <w:tcPr>
            <w:tcW w:w="32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19"/>
                <w:szCs w:val="19"/>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15,873,113</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116,290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(92,212)</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20,825</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(726)</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(726)</w:t>
            </w:r>
          </w:p>
        </w:tc>
      </w:tr>
      <w:tr>
        <w:trPr>
          <w:trHeight w:val="23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 net of tax</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(510)</w:t>
            </w:r>
          </w:p>
        </w:tc>
      </w:tr>
      <w:tr>
        <w:trPr>
          <w:trHeight w:val="223"/>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30 September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15,873,113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(92,938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INCANNEX HEALTHCARE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(expressed in U.S. Dollars, unless otherwise stated)</w:t>
      </w:r>
    </w:p>
    <w:p>
      <w:pPr>
        <w:spacing w:after="0" w:line="207"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color w:val="auto"/>
        </w:rPr>
        <w:t>For the three months ended</w:t>
      </w:r>
    </w:p>
    <w:p>
      <w:pPr>
        <w:spacing w:after="0" w:line="27"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(5,420)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459</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on foreign currency remeasurement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R&amp;D tax incentive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(839)</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(3,975)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and other payables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1,067</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2,242</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(387)</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(2,193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(5,749</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(221)</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(2,231)</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(5,842)</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5,858</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22,120</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3,627</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16,278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INCANNEX HEALTHCARE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(expressed in U.S. Dollars,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Re-domiciliation and Business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Incannex Healthcare Inc. (the “Company”) is a corporation formed under the laws of Delaware in July 2023. In November 2023, Incannex Healthcare Inc. acquired all the outstanding ordinary shares of Incannex Healthcare Limited, an Australian corporation (“Incannex Australia”), pursuant to a scheme of arrangement under Australian law (the “Re-domiciliation”). As a result of the Re-domiciliation, Incannex Australia became a wholly-owned subsidiary of Incannex Healthcare Inc., which is the new ultimate parent company.</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Until the Re-domiciliation, Incannex Australia’s ordinary shares were listed on the Australian Securities Exchange (“ASX”) and American Depositary Shares (“ADSs”), each representing 25 ordinary shares of Incannex Australia, traded on Nasdaq. Following completion of the Re-domiciliation, Incannex Australia’s ordinary shares were delisted from the ASX and Incannex Healthcare Inc. assumed Incannex Australia’s listing on Nasdaq.</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Re-domiciliation, holders of Incannex Australia’s ordinary shares received one share of common stock in Incannex Healthcare Inc. for every 100 ordinary shares held in Incannex Australia and holders of ADSs in Incannex Australia received one share of common stock of Incannex Healthcare Inc. for every 4 ADSs held in Incannex Australia.</w:t>
      </w:r>
    </w:p>
    <w:p>
      <w:pPr>
        <w:spacing w:after="0" w:line="176"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issued and outstanding shares of the Company’s common stock as shown in this report have been adjusted in the consolidated financial statements to reflect the 100:1 exchange ratio as if it had occurred on July 1, 2022.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Incannex Healthcare Inc. and its subsidiaries are referred to as “the Company” unless the text otherwise requires.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fiscal year end is June 30. References to a particular “fiscal year” are to the Company’s fiscal year ended June 30 of that calendar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w:t>
      </w:r>
    </w:p>
    <w:p>
      <w:pPr>
        <w:spacing w:after="0" w:line="207"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the Company are presented in United States dollars and consist of Incannex Healthcare Inc. and the following wholly-owned subsidiaries: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462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r>
      <w:tr>
        <w:trPr>
          <w:trHeight w:val="216"/>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Incannex Healthcare Limited</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620" w:type="dxa"/>
            <w:vAlign w:val="bottom"/>
            <w:tcBorders>
              <w:top w:val="single" w:sz="8" w:color="auto"/>
            </w:tcBorders>
            <w:shd w:val="clear" w:color="auto" w:fill="CCEEFF"/>
          </w:tcPr>
          <w:p>
            <w:pPr>
              <w:jc w:val="center"/>
              <w:ind w:right="790"/>
              <w:spacing w:after="0"/>
              <w:rPr>
                <w:sz w:val="20"/>
                <w:szCs w:val="20"/>
                <w:color w:val="auto"/>
              </w:rPr>
            </w:pPr>
            <w:r>
              <w:rPr>
                <w:rFonts w:ascii="Times New Roman" w:cs="Times New Roman" w:eastAsia="Times New Roman" w:hAnsi="Times New Roman"/>
                <w:sz w:val="18"/>
                <w:szCs w:val="18"/>
                <w:color w:val="auto"/>
                <w:w w:val="99"/>
              </w:rPr>
              <w:t>Victoria, Australia</w:t>
            </w:r>
          </w:p>
        </w:tc>
      </w:tr>
      <w:tr>
        <w:trPr>
          <w:trHeight w:val="216"/>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Incannex Pty Ltd</w:t>
            </w:r>
          </w:p>
        </w:tc>
        <w:tc>
          <w:tcPr>
            <w:tcW w:w="462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w w:val="99"/>
              </w:rPr>
              <w:t>Victoria, Australia</w:t>
            </w:r>
          </w:p>
        </w:tc>
      </w:tr>
      <w:tr>
        <w:trPr>
          <w:trHeight w:val="216"/>
        </w:trPr>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Psychennex Pty Ltd</w:t>
            </w:r>
          </w:p>
        </w:tc>
        <w:tc>
          <w:tcPr>
            <w:tcW w:w="4620" w:type="dxa"/>
            <w:vAlign w:val="bottom"/>
            <w:shd w:val="clear" w:color="auto" w:fill="CCEEFF"/>
          </w:tcPr>
          <w:p>
            <w:pPr>
              <w:jc w:val="center"/>
              <w:ind w:right="790"/>
              <w:spacing w:after="0"/>
              <w:rPr>
                <w:sz w:val="20"/>
                <w:szCs w:val="20"/>
                <w:color w:val="auto"/>
              </w:rPr>
            </w:pPr>
            <w:r>
              <w:rPr>
                <w:rFonts w:ascii="Times New Roman" w:cs="Times New Roman" w:eastAsia="Times New Roman" w:hAnsi="Times New Roman"/>
                <w:sz w:val="18"/>
                <w:szCs w:val="18"/>
                <w:color w:val="auto"/>
                <w:w w:val="99"/>
              </w:rPr>
              <w:t>Victoria, Australia</w:t>
            </w:r>
          </w:p>
        </w:tc>
      </w:tr>
      <w:tr>
        <w:trPr>
          <w:trHeight w:val="216"/>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APIRx Pharmaceutical USA, LLC</w:t>
            </w:r>
          </w:p>
        </w:tc>
        <w:tc>
          <w:tcPr>
            <w:tcW w:w="462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Delaware, United States of America</w:t>
            </w:r>
          </w:p>
        </w:tc>
      </w:tr>
      <w:tr>
        <w:trPr>
          <w:trHeight w:val="216"/>
        </w:trPr>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APIRx Pharmaceuticals Holding BV</w:t>
            </w:r>
          </w:p>
        </w:tc>
        <w:tc>
          <w:tcPr>
            <w:tcW w:w="4620" w:type="dxa"/>
            <w:vAlign w:val="bottom"/>
            <w:shd w:val="clear" w:color="auto" w:fill="CCEEFF"/>
          </w:tcPr>
          <w:p>
            <w:pPr>
              <w:jc w:val="center"/>
              <w:ind w:right="790"/>
              <w:spacing w:after="0"/>
              <w:rPr>
                <w:sz w:val="20"/>
                <w:szCs w:val="20"/>
                <w:color w:val="auto"/>
              </w:rPr>
            </w:pPr>
            <w:r>
              <w:rPr>
                <w:rFonts w:ascii="Times New Roman" w:cs="Times New Roman" w:eastAsia="Times New Roman" w:hAnsi="Times New Roman"/>
                <w:sz w:val="18"/>
                <w:szCs w:val="18"/>
                <w:color w:val="auto"/>
                <w:w w:val="99"/>
              </w:rPr>
              <w:t>IJsselstein, Netherlands</w:t>
            </w:r>
          </w:p>
        </w:tc>
      </w:tr>
      <w:tr>
        <w:trPr>
          <w:trHeight w:val="216"/>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Clarion Clinics Group Pty Ltd</w:t>
            </w:r>
          </w:p>
        </w:tc>
        <w:tc>
          <w:tcPr>
            <w:tcW w:w="462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w w:val="99"/>
              </w:rPr>
              <w:t>Victoria, Australia</w:t>
            </w:r>
          </w:p>
        </w:tc>
      </w:tr>
      <w:tr>
        <w:trPr>
          <w:trHeight w:val="216"/>
        </w:trPr>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Clarion Model Clinic Pty Ltd</w:t>
            </w:r>
          </w:p>
        </w:tc>
        <w:tc>
          <w:tcPr>
            <w:tcW w:w="4620" w:type="dxa"/>
            <w:vAlign w:val="bottom"/>
            <w:shd w:val="clear" w:color="auto" w:fill="CCEEFF"/>
          </w:tcPr>
          <w:p>
            <w:pPr>
              <w:jc w:val="center"/>
              <w:ind w:right="790"/>
              <w:spacing w:after="0"/>
              <w:rPr>
                <w:sz w:val="20"/>
                <w:szCs w:val="20"/>
                <w:color w:val="auto"/>
              </w:rPr>
            </w:pPr>
            <w:r>
              <w:rPr>
                <w:rFonts w:ascii="Times New Roman" w:cs="Times New Roman" w:eastAsia="Times New Roman" w:hAnsi="Times New Roman"/>
                <w:sz w:val="18"/>
                <w:szCs w:val="18"/>
                <w:color w:val="auto"/>
                <w:w w:val="99"/>
              </w:rPr>
              <w:t>Victoria, Australia</w:t>
            </w:r>
          </w:p>
        </w:tc>
      </w:tr>
      <w:tr>
        <w:trPr>
          <w:trHeight w:val="234"/>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Psychennex Licensing and Franchising Pty Ltd</w:t>
            </w:r>
          </w:p>
        </w:tc>
        <w:tc>
          <w:tcPr>
            <w:tcW w:w="462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w w:val="99"/>
              </w:rPr>
              <w:t>Victoria, Australia</w:t>
            </w:r>
          </w:p>
        </w:tc>
      </w:tr>
      <w:tr>
        <w:trPr>
          <w:trHeight w:val="414"/>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w:t>
            </w:r>
          </w:p>
        </w:tc>
        <w:tc>
          <w:tcPr>
            <w:tcW w:w="462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40" w:firstLine="648"/>
        <w:spacing w:after="0" w:line="274" w:lineRule="auto"/>
        <w:rPr>
          <w:sz w:val="20"/>
          <w:szCs w:val="20"/>
          <w:color w:val="auto"/>
        </w:rPr>
      </w:pPr>
      <w:r>
        <w:rPr>
          <w:rFonts w:ascii="Times New Roman" w:cs="Times New Roman" w:eastAsia="Times New Roman" w:hAnsi="Times New Roman"/>
          <w:sz w:val="17"/>
          <w:szCs w:val="17"/>
          <w:color w:val="auto"/>
        </w:rPr>
        <w:t>On November 28, 2023, the Company implemented the transaction to redomicile from Australia to United States and became the parent of Incannex Australia and the wholly owned subsidiaries listed in Note 1. The historical financial statements of Incannex Australia became the historical financial statements of the combined company upon consummation of the Re-domiciliation. As a result, the financial statements included in this report reflect (i) the historical operating results of Incannex Australia and subsidiaries prior to the Re-domiciliation; (ii) the combined results of the Company, Incannex Australia, and subsidiaries following the completion of the Re-domiciliation; and (iii) the Company’s equity structure for all periods presented, including adjusting the issued and outstanding shares of common stock to reflect the 100:1 exchange ratio as if it had occurred on July 1, 2022.</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contained in this Quarterly Report on Form 10-Q have been prepared in accordance with accounting principles generally accepted in the United States (“US GAAP”) and pursuant to the rules and regulations of the SEC. Prior to the Re-domiciliation, Incannex Australia reported its consolidated financial statements in accordance with International Financial Reporting Standards (“IFRS”). Following the Re-domiciliation, the Company transitioned to US GAAP and applied US GAAP retrospectively for all prior periods presented.</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Reference is frequently made herein to the Financial Accounting Standards Board (the “FASB”) Accounting Standards Codification (“ASC”). This is the source of authoritative US GAAP recognized by the FASB to be applied to non-governmental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the opinion of the Company, the accompanying unaudited condensed consolidated financial statements contain all adjustments, consisting of only normal recurring adjustments, necessary for a fair statement of its financial position as of September 30, 2024, and its results of operations for the three months ended September 30, 2024, and 2023, and cash flows for the three months ended September 30, 2024, and 2023. The Company has condensed or omitted certain information and note disclosures normally included in financial statements prepared in accordance with GAAP pursuant to the applicable required disclosures and regulations of the SEC. As such, these unaudited condensed consolidated financial statements should be read in conjunction with the Company’s audited financial statements and accompanying notes included in the Company’s Annual Report on Form 10-K for the year ended June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Basis</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 believes there is substantial doubt about its ability to obtain additional capital when and as needed to continue as a going concern as previously disclosed in the 2024 Annual Report. The Company has not yet established an ongoing source of revenue sufficient to cover its operating and capital expenditure requirements and to cover any potential payments that may become due and payable pursuant to any debentures to provide sufficient certainty that the Company will continue as a going concern. Historically, the Company has financed its operations to date primarily through partnerships, funds received from public offerings of common stock, a debt financing facility, as well as funding from governmental bodies. The Company plan to address this condition through the sale of common stock in public offerings and/or private placements, debt financings, or through other capital sources, including collaborations with other companies or other strategic transactions, but there is no assurance these plans will be completed successfully or at all. Pursuant to the requirements of ASC 205-40,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and as a result of the financial condition and other factors described herein, there is substantial doubt about the Company’s ability to continue as a going concern for a period of at least twelve months from the date of this Quarterly Report.</w:t>
      </w:r>
    </w:p>
    <w:p>
      <w:pPr>
        <w:spacing w:after="0" w:line="19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Based on the Company’s unrestricted cash and cash equivalents as of September 30, 2024, the Company anticipates that it will be able to fund its planned operating expenses and capital expenditure requirements into March 2025. The Company believes that its current cash and cash equivalents and anticipated cash flows from the financing activities contemplated by the September 2024 Purchase Agreement (as defined below) and the ELOC Purchase Agreement (as defined below) will be sufficient to meet the Company’s anticipated working capital requirements and capital expenditures in the ordinary course of business until March 2026. However, there can be no assurance that the Company will continue to comply with the terms of these agreements or that these issuances will occur. The Company has based these estimates on assumptions that may prove to be wrong, and the Company could use its capital resources sooner than it currently expects.</w:t>
      </w:r>
    </w:p>
    <w:p>
      <w:pPr>
        <w:spacing w:after="0" w:line="1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Company’s independent auditor also included in its audit report, which is part of the 2024 Annual Report, a going concern opinion raising substantial doubt about the Company’s ability to continue as a going concern. This substantial doubt as to the Company’s ability to continue as a going concern may adversely impact its ability to obtain any additional financing the Company may need to continue its business operations and may materially and adversely affect its ability to enter into contractual relations with third parties. Uncertainty about the Company’s ability to continue as a going concern could materially and adversely affect its liquidity, financial condition and business prospects.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wholly-owned subsidiaries. Details of all controlled entities are set out in Note 1. All intercompany balances and transactions have been eliminated on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impact the reported amounts of assets, liabilities and expenses and the disclosure of contingent assets and liabilities in the Company’s unaudited condensed consolidated financial statements and accompanying notes.</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most significant estimates and assumptions in the Company’s unaudited condensed consolidated financial statements include the valuation of equity-based instruments issued for other than cash accrued research and development expense, and the research and development tax credit. Estimates are periodically reviewed in light of changes in circumstances, facts and experience. Changes in estimates are recorded in the period in which they become known. Actual results could differ materially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companies in the biopharmaceutical industry. The Company believes that changes in any of the following areas could have a material adverse effect on future financial position or results of operations: ability to obtain future financing; regulatory approval and market acceptance of, and reimbursement for, product candidates; performance of third-party clinical research organizations and manufacturers upon which the Company relies; protection of the Company’s intellectual property; litigation or claims against the Company based on intellectual property, patent, product, regulatory or other factors; the Company’s ability to attract and retain employees.</w:t>
      </w:r>
    </w:p>
    <w:p>
      <w:pPr>
        <w:spacing w:after="0" w:line="183"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technological change and substantial competition from other pharmaceutical and biotechnology companies. In addition, the Company is dependent upon the services of its employees, consultants and other third parties.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to the Company’s significant accounting policies disclosed in Note 2 to the consolidated financial statements described in the Company’s 2024 Annual Report that have had a material impact on the Company’s unaudited condensed consolidated financial statements and related notes.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Prepaid expenses and other current assets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June 30,</w:t>
            </w:r>
          </w:p>
        </w:tc>
      </w:tr>
      <w:tr>
        <w:trPr>
          <w:trHeight w:val="216"/>
        </w:trPr>
        <w:tc>
          <w:tcPr>
            <w:tcW w:w="868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r>
      <w:tr>
        <w:trPr>
          <w:trHeight w:val="241"/>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4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CCEEFF"/>
            </w:tcBorders>
          </w:tcPr>
          <w:p>
            <w:pPr>
              <w:spacing w:after="0"/>
              <w:rPr>
                <w:sz w:val="19"/>
                <w:szCs w:val="19"/>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Prepayments</w:t>
            </w:r>
            <w:r>
              <w:rPr>
                <w:rFonts w:ascii="Times New Roman" w:cs="Times New Roman" w:eastAsia="Times New Roman" w:hAnsi="Times New Roman"/>
                <w:sz w:val="28"/>
                <w:szCs w:val="28"/>
                <w:color w:val="auto"/>
                <w:vertAlign w:val="superscript"/>
              </w:rPr>
              <w:t>1</w:t>
            </w:r>
          </w:p>
        </w:tc>
        <w:tc>
          <w:tcPr>
            <w:tcW w:w="13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GST recoverable</w:t>
            </w:r>
          </w:p>
        </w:tc>
        <w:tc>
          <w:tcPr>
            <w:tcW w:w="1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189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489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right="360" w:hanging="332"/>
        <w:spacing w:after="0" w:line="195" w:lineRule="auto"/>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Prepayments consist of prepaid clinical trial insurances, prepaid R&amp;D expenditure relating to PSX-001 and IHL-675A clinical trials and scientific, marketing, and adverting subscription services.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R&amp;D tax incentive receivable</w:t>
            </w: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4"/>
                <w:szCs w:val="24"/>
                <w:color w:val="auto"/>
              </w:rPr>
            </w:pP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9"/>
              </w:rPr>
              <w:t>September 30,</w:t>
            </w: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June 30,</w:t>
            </w:r>
          </w:p>
        </w:tc>
      </w:tr>
      <w:tr>
        <w:trPr>
          <w:trHeight w:val="216"/>
        </w:trPr>
        <w:tc>
          <w:tcPr>
            <w:tcW w:w="8680" w:type="dxa"/>
            <w:vAlign w:val="bottom"/>
          </w:tcPr>
          <w:p>
            <w:pPr>
              <w:spacing w:after="0"/>
              <w:rPr>
                <w:sz w:val="18"/>
                <w:szCs w:val="18"/>
                <w:color w:val="auto"/>
              </w:rPr>
            </w:pPr>
          </w:p>
        </w:tc>
        <w:tc>
          <w:tcPr>
            <w:tcW w:w="13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r>
      <w:tr>
        <w:trPr>
          <w:trHeight w:val="241"/>
        </w:trPr>
        <w:tc>
          <w:tcPr>
            <w:tcW w:w="8680" w:type="dxa"/>
            <w:vAlign w:val="bottom"/>
          </w:tcPr>
          <w:p>
            <w:pPr>
              <w:spacing w:after="0"/>
              <w:rPr>
                <w:sz w:val="20"/>
                <w:szCs w:val="20"/>
                <w:color w:val="auto"/>
              </w:rPr>
            </w:pPr>
          </w:p>
        </w:tc>
        <w:tc>
          <w:tcPr>
            <w:tcW w:w="13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460" w:type="dxa"/>
            <w:vAlign w:val="bottom"/>
            <w:tcBorders>
              <w:bottom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tax incentive receivable</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11,093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Due to multiple years of tax incentives being granted and successful lodgment of overseas findings on the Company’s lead assets, the Company changed its estimates for the R&amp;D tax incentive receivable, primarily based on historical experience of claims.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Note 5 – Property, Plant and Equipment,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24"/>
                <w:szCs w:val="24"/>
                <w:color w:val="auto"/>
              </w:rPr>
            </w:pPr>
          </w:p>
        </w:tc>
        <w:tc>
          <w:tcPr>
            <w:tcW w:w="10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June 30,</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fittings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625</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construction</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Accumulated depreciation and amortization</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is recorded within general and administrative in the unaudited condensed consolidated statements of operations and comprehensive loss and amounted to $66,184 and $12,046 for the three months ended September 30, 2024 and 2023,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 – Trade and other payables, accrued expenses and other current liabilities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30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12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June 30,</w:t>
            </w:r>
          </w:p>
        </w:tc>
      </w:tr>
      <w:tr>
        <w:trPr>
          <w:trHeight w:val="216"/>
        </w:trPr>
        <w:tc>
          <w:tcPr>
            <w:tcW w:w="130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130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130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246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gridSpan w:val="2"/>
          </w:tcPr>
          <w:p>
            <w:pPr>
              <w:spacing w:after="0"/>
              <w:rPr>
                <w:sz w:val="19"/>
                <w:szCs w:val="19"/>
                <w:color w:val="auto"/>
              </w:rPr>
            </w:pPr>
          </w:p>
        </w:tc>
      </w:tr>
      <w:tr>
        <w:trPr>
          <w:trHeight w:val="175"/>
        </w:trPr>
        <w:tc>
          <w:tcPr>
            <w:tcW w:w="86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Current liabilities</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48"/>
        </w:trPr>
        <w:tc>
          <w:tcPr>
            <w:tcW w:w="1300" w:type="dxa"/>
            <w:vAlign w:val="bottom"/>
            <w:tcBorders>
              <w:top w:val="single" w:sz="8" w:color="auto"/>
            </w:tcBorders>
          </w:tcPr>
          <w:p>
            <w:pPr>
              <w:spacing w:after="0"/>
              <w:rPr>
                <w:sz w:val="4"/>
                <w:szCs w:val="4"/>
                <w:color w:val="auto"/>
              </w:rPr>
            </w:pPr>
          </w:p>
        </w:tc>
        <w:tc>
          <w:tcPr>
            <w:tcW w:w="7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3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1,496</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trade and other payables</w:t>
            </w:r>
          </w:p>
        </w:tc>
        <w:tc>
          <w:tcPr>
            <w:tcW w:w="112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3"/>
              </w:rPr>
              <w:t>1,555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3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7,100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4,512</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leave entitlements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r>
      <w:tr>
        <w:trPr>
          <w:trHeight w:val="236"/>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12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3"/>
              </w:rPr>
              <w:t>7,487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Trade and other payables, accrued expenses and other current liabilities</w:t>
            </w:r>
          </w:p>
        </w:tc>
        <w:tc>
          <w:tcPr>
            <w:tcW w:w="1120" w:type="dxa"/>
            <w:vAlign w:val="bottom"/>
            <w:tcBorders>
              <w:bottom w:val="single" w:sz="8" w:color="auto"/>
            </w:tcBorders>
          </w:tcPr>
          <w:p>
            <w:pPr>
              <w:ind w:left="720"/>
              <w:spacing w:after="0" w:line="203" w:lineRule="exact"/>
              <w:rPr>
                <w:sz w:val="20"/>
                <w:szCs w:val="20"/>
                <w:color w:val="auto"/>
              </w:rPr>
            </w:pPr>
            <w:r>
              <w:rPr>
                <w:rFonts w:ascii="Times New Roman" w:cs="Times New Roman" w:eastAsia="Times New Roman" w:hAnsi="Times New Roman"/>
                <w:sz w:val="18"/>
                <w:szCs w:val="18"/>
                <w:color w:val="auto"/>
                <w:w w:val="93"/>
              </w:rPr>
              <w:t>9,042</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5,457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Trade and other payables are unsecured, non-interest bearing and are normally settled within 30 days. The carrying amounts are a reasonable approximation of fair value.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b w:val="1"/>
          <w:bCs w:val="1"/>
          <w:color w:val="auto"/>
        </w:rPr>
        <w:t>Note 7 – Leases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During fiscal year 2023, the Company entered into three new lease agreements for its corporate head office in Sydney, Melbourne office and Clarion Clinic site. The leases have four, five and three-year terms respectively. These leases require monthly lease payments that may be subject to annual increases throughout the lease term. Certain of these leases also include renewal options at the election of the Company to renew or extend the lease for an additional three to five years. These optional periods have not been considered in the determination of the right-of-use assets or lease liabilities associated with these leases as the Company did not consider it reasonably certain it would exercise the options.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weighted-average remaining lease term and discount rates for the Company’s operating leases: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September 30,</w:t>
            </w:r>
          </w:p>
        </w:tc>
        <w:tc>
          <w:tcPr>
            <w:tcW w:w="12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June 30,</w:t>
            </w:r>
          </w:p>
        </w:tc>
      </w:tr>
      <w:tr>
        <w:trPr>
          <w:trHeight w:val="241"/>
        </w:trPr>
        <w:tc>
          <w:tcPr>
            <w:tcW w:w="86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term (years)</w:t>
            </w: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5"/>
              </w:rPr>
              <w:t>2.07</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5"/>
              </w:rPr>
              <w:t>2.32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38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9.18%</w:t>
            </w:r>
          </w:p>
        </w:tc>
        <w:tc>
          <w:tcPr>
            <w:tcW w:w="126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8"/>
              </w:rPr>
              <w:t>9.18%</w:t>
            </w:r>
          </w:p>
        </w:tc>
      </w:tr>
      <w:tr>
        <w:trPr>
          <w:trHeight w:val="432"/>
        </w:trPr>
        <w:tc>
          <w:tcPr>
            <w:tcW w:w="8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lease costs pertaining to the Company’s operating leases:</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September 30,</w:t>
            </w:r>
          </w:p>
        </w:tc>
        <w:tc>
          <w:tcPr>
            <w:tcW w:w="12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June 30,</w:t>
            </w:r>
          </w:p>
        </w:tc>
      </w:tr>
      <w:tr>
        <w:trPr>
          <w:trHeight w:val="216"/>
        </w:trPr>
        <w:tc>
          <w:tcPr>
            <w:tcW w:w="8600" w:type="dxa"/>
            <w:vAlign w:val="bottom"/>
          </w:tcPr>
          <w:p>
            <w:pPr>
              <w:spacing w:after="0"/>
              <w:rPr>
                <w:sz w:val="18"/>
                <w:szCs w:val="18"/>
                <w:color w:val="auto"/>
              </w:rPr>
            </w:pPr>
          </w:p>
        </w:tc>
        <w:tc>
          <w:tcPr>
            <w:tcW w:w="11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18"/>
                <w:szCs w:val="18"/>
                <w:color w:val="auto"/>
              </w:rPr>
            </w:pP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600" w:type="dxa"/>
            <w:vAlign w:val="bottom"/>
          </w:tcPr>
          <w:p>
            <w:pPr>
              <w:spacing w:after="0"/>
              <w:rPr>
                <w:sz w:val="20"/>
                <w:szCs w:val="20"/>
                <w:color w:val="auto"/>
              </w:rPr>
            </w:pPr>
          </w:p>
        </w:tc>
        <w:tc>
          <w:tcPr>
            <w:tcW w:w="11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60" w:type="dxa"/>
            <w:vAlign w:val="bottom"/>
            <w:tcBorders>
              <w:top w:val="single" w:sz="8" w:color="auto"/>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CCEEFF"/>
            </w:tcBorders>
          </w:tcPr>
          <w:p>
            <w:pPr>
              <w:spacing w:after="0"/>
              <w:rPr>
                <w:sz w:val="19"/>
                <w:szCs w:val="19"/>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during the three months ended September 30, 2024 and fiscal year June 30, 2024 was $54,000 and $172,000, respectively, and was included within net cash used in operating activities in the cash flows.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summarizes the future minimum lease payments due under operating leases as of September 30, 2024,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Amount</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1"/>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w:t>
            </w:r>
          </w:p>
        </w:tc>
      </w:tr>
      <w:tr>
        <w:trPr>
          <w:trHeight w:val="216"/>
        </w:trPr>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2024, the Company’s operating lease has a weighted-average remaining lease term of 2.07 years and a discount rate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9.18%.</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records a loss contingency when it is probable that a liability has been incurred and the amount of the loss can be reasonably estimated. The Company also discloses material contingencies when it believes a loss is not probable but reasonably possible. Accounting for contingencies requires the Company to use judgment related to both the likelihood of a loss and the estimate of the amount or range of loss. Although the Company cannot predict with assurance the outcome of any litigation or tax matters, it does not believe there are currently any such actions that, if resolved unfavorably, would have a material impact on the Company’s operating results, financial position or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Stockholder’s equity/Issued capital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has one class of common stock. In connection with the re-domiciliation, the Company’s amended and restated certificate of incorporation became effective, which provides for authorized the issuance of 100,000,000 authorized shares of common stock with a par value of $0.0001 per share, with one vote per share. Holders of common stock are entitled to receive any dividends as may be declared from time to time by the Company’s board of directors.</w:t>
      </w:r>
    </w:p>
    <w:p>
      <w:pPr>
        <w:spacing w:after="0" w:line="180" w:lineRule="exact"/>
        <w:rPr>
          <w:sz w:val="20"/>
          <w:szCs w:val="20"/>
          <w:color w:val="auto"/>
        </w:rPr>
      </w:pPr>
    </w:p>
    <w:p>
      <w:pPr>
        <w:ind w:right="780" w:firstLine="648"/>
        <w:spacing w:after="0" w:line="266" w:lineRule="auto"/>
        <w:rPr>
          <w:sz w:val="20"/>
          <w:szCs w:val="20"/>
          <w:color w:val="auto"/>
        </w:rPr>
      </w:pPr>
      <w:r>
        <w:rPr>
          <w:rFonts w:ascii="Times New Roman" w:cs="Times New Roman" w:eastAsia="Times New Roman" w:hAnsi="Times New Roman"/>
          <w:sz w:val="18"/>
          <w:szCs w:val="18"/>
          <w:color w:val="auto"/>
        </w:rPr>
        <w:t>On November 28, 2023, the Company effected the Re-domiciliation. All references in these unaudited condensed consolidated financial statements to the Company’s outstanding common stock, including per share information, have been retrospectively adjusted to reflect this Re-domiciliation.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 Stock-based payments</w:t>
      </w:r>
    </w:p>
    <w:p>
      <w:pPr>
        <w:spacing w:after="0" w:line="22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color w:val="auto"/>
        </w:rPr>
        <w:t>For the three months ended</w:t>
      </w:r>
    </w:p>
    <w:p>
      <w:pPr>
        <w:spacing w:after="0" w:line="27"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680" w:type="dxa"/>
            <w:vAlign w:val="bottom"/>
          </w:tcPr>
          <w:p>
            <w:pPr>
              <w:spacing w:after="0"/>
              <w:rPr>
                <w:sz w:val="17"/>
                <w:szCs w:val="17"/>
                <w:color w:val="auto"/>
              </w:rPr>
            </w:pPr>
          </w:p>
        </w:tc>
        <w:tc>
          <w:tcPr>
            <w:tcW w:w="7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2024</w:t>
            </w:r>
          </w:p>
        </w:tc>
        <w:tc>
          <w:tcPr>
            <w:tcW w:w="1360" w:type="dxa"/>
            <w:vAlign w:val="bottom"/>
            <w:tcBorders>
              <w:top w:val="single" w:sz="8" w:color="auto"/>
            </w:tcBorders>
            <w:gridSpan w:val="3"/>
          </w:tcPr>
          <w:p>
            <w:pPr>
              <w:jc w:val="right"/>
              <w:ind w:right="60"/>
              <w:spacing w:after="0" w:line="205" w:lineRule="exact"/>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9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140" w:type="dxa"/>
            <w:vAlign w:val="bottom"/>
            <w:tcBorders>
              <w:top w:val="single" w:sz="8" w:color="auto"/>
              <w:bottom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7"/>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w:t>
            </w:r>
          </w:p>
        </w:tc>
        <w:tc>
          <w:tcPr>
            <w:tcW w:w="800" w:type="dxa"/>
            <w:vAlign w:val="bottom"/>
          </w:tcPr>
          <w:p>
            <w:pPr>
              <w:spacing w:after="0"/>
              <w:rPr>
                <w:sz w:val="20"/>
                <w:szCs w:val="20"/>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8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changes in the Company’s restricted stock activity for the period ended September 30, 2024,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Average Grant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Date</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Numbers of</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6"/>
              </w:rPr>
              <w:t>Fair Value</w:t>
            </w:r>
          </w:p>
        </w:tc>
        <w:tc>
          <w:tcPr>
            <w:tcW w:w="0" w:type="dxa"/>
            <w:vAlign w:val="bottom"/>
          </w:tcPr>
          <w:p>
            <w:pPr>
              <w:spacing w:after="0"/>
              <w:rPr>
                <w:sz w:val="1"/>
                <w:szCs w:val="1"/>
                <w:color w:val="auto"/>
              </w:rPr>
            </w:pPr>
          </w:p>
        </w:tc>
      </w:tr>
      <w:tr>
        <w:trPr>
          <w:trHeight w:val="241"/>
        </w:trPr>
        <w:tc>
          <w:tcPr>
            <w:tcW w:w="46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34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Shares</w:t>
            </w: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6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246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(in thousands, expect per share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6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560" w:type="dxa"/>
            <w:vAlign w:val="bottom"/>
            <w:gridSpan w:val="4"/>
          </w:tcPr>
          <w:p>
            <w:pPr>
              <w:ind w:left="1040"/>
              <w:spacing w:after="0"/>
              <w:rPr>
                <w:sz w:val="20"/>
                <w:szCs w:val="20"/>
                <w:color w:val="auto"/>
              </w:rPr>
            </w:pPr>
            <w:r>
              <w:rPr>
                <w:rFonts w:ascii="Times New Roman" w:cs="Times New Roman" w:eastAsia="Times New Roman" w:hAnsi="Times New Roman"/>
                <w:sz w:val="18"/>
                <w:szCs w:val="18"/>
                <w:color w:val="auto"/>
              </w:rPr>
              <w:t>data)</w:t>
            </w:r>
          </w:p>
        </w:tc>
        <w:tc>
          <w:tcPr>
            <w:tcW w:w="0" w:type="dxa"/>
            <w:vAlign w:val="bottom"/>
          </w:tcPr>
          <w:p>
            <w:pPr>
              <w:spacing w:after="0"/>
              <w:rPr>
                <w:sz w:val="1"/>
                <w:szCs w:val="1"/>
                <w:color w:val="auto"/>
              </w:rPr>
            </w:pPr>
          </w:p>
        </w:tc>
      </w:tr>
      <w:tr>
        <w:trPr>
          <w:trHeight w:val="216"/>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and Outstanding as of June 30, 2024</w:t>
            </w:r>
          </w:p>
        </w:tc>
        <w:tc>
          <w:tcPr>
            <w:tcW w:w="40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651,939</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5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27,795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5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(9,265)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5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and Outstanding as of September 30, 2024</w:t>
            </w:r>
          </w:p>
        </w:tc>
        <w:tc>
          <w:tcPr>
            <w:tcW w:w="40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02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6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10 – Stock-based payments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changes in the Company’s stock options activity for the period ended September 30, 2024,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Weighted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Aggregate</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Remaining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Intrinsic</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Contractual</w:t>
            </w: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Value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Number 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Price</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Term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 thousands)</w:t>
            </w:r>
          </w:p>
        </w:tc>
      </w:tr>
      <w:tr>
        <w:trPr>
          <w:trHeight w:val="241"/>
        </w:trPr>
        <w:tc>
          <w:tcPr>
            <w:tcW w:w="598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22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(Years)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00" w:type="dxa"/>
            <w:vAlign w:val="bottom"/>
          </w:tcPr>
          <w:p>
            <w:pPr>
              <w:spacing w:after="0"/>
              <w:rPr>
                <w:sz w:val="20"/>
                <w:szCs w:val="20"/>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235,008</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forfeited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235,008</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Unvested as of September 30, 2024</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14,001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share options is calculated as the difference between the exercise price of the share options and the fair value of the Company’s shares of common stock for those share options that had exercise prices lower than the fair value of the Company’s shares of common stock.</w:t>
      </w:r>
    </w:p>
    <w:p>
      <w:pPr>
        <w:spacing w:after="0" w:line="176"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there was $85,091 of unrecognized compensation cost related to unvested share options, which is expected to be recognized over a weighted-average period of 0.75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and September 30, 2023, respectively, the Company did not recognize a provision or benefit for income taxes as it incurred net losses. In addition, the net deferred tax assets generated from net operating losses were fully offset by a valuation allowance as the Company believes it is not more likely than not that the benefit will be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Loss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share and earnings per share amounts presented below reflect the impact of the Re-domiciliation as if it had taken effect on July 1, 2022.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Basic and diluted net loss per share attributable to stockholders was calculated as follows (in thousands, except share and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4"/>
          </w:tcPr>
          <w:p>
            <w:pPr>
              <w:jc w:val="right"/>
              <w:ind w:right="281"/>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560" w:type="dxa"/>
            <w:vAlign w:val="bottom"/>
            <w:gridSpan w:val="4"/>
          </w:tcPr>
          <w:p>
            <w:pPr>
              <w:jc w:val="right"/>
              <w:ind w:right="741"/>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198"/>
        </w:trPr>
        <w:tc>
          <w:tcPr>
            <w:tcW w:w="8680" w:type="dxa"/>
            <w:vAlign w:val="bottom"/>
          </w:tcPr>
          <w:p>
            <w:pPr>
              <w:spacing w:after="0"/>
              <w:rPr>
                <w:sz w:val="17"/>
                <w:szCs w:val="17"/>
                <w:color w:val="auto"/>
              </w:rPr>
            </w:pPr>
          </w:p>
        </w:tc>
        <w:tc>
          <w:tcPr>
            <w:tcW w:w="1120" w:type="dxa"/>
            <w:vAlign w:val="bottom"/>
            <w:tcBorders>
              <w:top w:val="single" w:sz="8" w:color="auto"/>
            </w:tcBorders>
          </w:tcPr>
          <w:p>
            <w:pPr>
              <w:jc w:val="right"/>
              <w:ind w:right="318"/>
              <w:spacing w:after="0" w:line="198" w:lineRule="exact"/>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01"/>
              <w:spacing w:after="0" w:line="198" w:lineRule="exact"/>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share – (dollars per share)</w:t>
            </w: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1"/>
              <w:spacing w:after="0" w:line="148"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88"/>
        </w:trPr>
        <w:tc>
          <w:tcPr>
            <w:tcW w:w="8680" w:type="dxa"/>
            <w:vAlign w:val="bottom"/>
            <w:vMerge w:val="continue"/>
            <w:shd w:val="clear" w:color="auto" w:fill="CCEEFF"/>
          </w:tcPr>
          <w:p>
            <w:pPr>
              <w:spacing w:after="0"/>
              <w:rPr>
                <w:sz w:val="7"/>
                <w:szCs w:val="7"/>
                <w:color w:val="auto"/>
              </w:rPr>
            </w:pPr>
          </w:p>
        </w:tc>
        <w:tc>
          <w:tcPr>
            <w:tcW w:w="1340" w:type="dxa"/>
            <w:vAlign w:val="bottom"/>
            <w:gridSpan w:val="2"/>
            <w:shd w:val="clear" w:color="auto" w:fill="CCEEFF"/>
          </w:tcPr>
          <w:p>
            <w:pPr>
              <w:jc w:val="right"/>
              <w:ind w:right="141"/>
              <w:spacing w:after="0" w:line="68" w:lineRule="exact"/>
              <w:rPr>
                <w:sz w:val="20"/>
                <w:szCs w:val="20"/>
                <w:color w:val="auto"/>
              </w:rPr>
            </w:pPr>
            <w:r>
              <w:rPr>
                <w:rFonts w:ascii="Times New Roman" w:cs="Times New Roman" w:eastAsia="Times New Roman" w:hAnsi="Times New Roman"/>
                <w:sz w:val="7"/>
                <w:szCs w:val="7"/>
                <w:color w:val="auto"/>
              </w:rPr>
              <w:t>(0.29</w:t>
            </w:r>
          </w:p>
        </w:tc>
        <w:tc>
          <w:tcPr>
            <w:tcW w:w="1220" w:type="dxa"/>
            <w:vAlign w:val="bottom"/>
            <w:gridSpan w:val="2"/>
            <w:shd w:val="clear" w:color="auto" w:fill="CCEEFF"/>
          </w:tcPr>
          <w:p>
            <w:pPr>
              <w:jc w:val="right"/>
              <w:ind w:right="21"/>
              <w:spacing w:after="0" w:line="68" w:lineRule="exact"/>
              <w:rPr>
                <w:sz w:val="20"/>
                <w:szCs w:val="20"/>
                <w:color w:val="auto"/>
              </w:rPr>
            </w:pPr>
            <w:r>
              <w:rPr>
                <w:rFonts w:ascii="Times New Roman" w:cs="Times New Roman" w:eastAsia="Times New Roman" w:hAnsi="Times New Roman"/>
                <w:sz w:val="7"/>
                <w:szCs w:val="7"/>
                <w:color w:val="auto"/>
              </w:rPr>
              <w:t>(0.08</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The loss and weighted average number of common stock used in the calculation of basic loss per share is as follows:</w:t>
            </w: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 for the year (in thousands)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(5,081)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Weighted average number of common stock (number)</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17,642,832</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15,873,113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notes that the diluted loss per share is the same as basic loss per share.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b w:val="1"/>
          <w:bCs w:val="1"/>
          <w:color w:val="auto"/>
        </w:rPr>
        <w:t>Note 13 – Related Party Transactions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Transactions between related parties are on commercial terms and conditions, no more favorable than those available to other parties unless otherwise stated.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amounts payable to any related parties as of September 30, 2024 and June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Subsequent Events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Facility Agreement</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October 9, 2024, the Company entered into a Facility Agreement (the “Facility Agreement”) with FC Credit Pty Ltd (“FC Credit”), pursuant to which FC Credit will provide a term loan facility for up to $4.7 million (the “Loan Facility”). On October 10, 2024, the Company received approximately $4.6 million as the initial drawdown amount, after deducting certain fees payable by the Company under the Facility Agreement. The Loan Facility has a term of 12 months from the date of the initial drawdown (the “Final Repayment Date”). Interest under the Loan Facility will accrue at the rate of 14.5% per annum and is payable on the last date of each calendar month and on the Final Repayment Date.</w:t>
      </w:r>
    </w:p>
    <w:p>
      <w:pPr>
        <w:spacing w:after="0" w:line="18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This facility provides the Company with immediate access to funds based on research and development expenses incurred during the 2023 and 2024 financial years, aligning with the end of the Australian financial year. The Research and Development Tax Incentive (“RDTI”) program is a key program under the Australian government's innovation framework, designed to encourage companies to undertake research and development activities that benefit Australia. It offers a tax rebate, currently at 48.5%, for eligible research and development expenses, allowing companies to recoup almost half of their research and development spending.</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Equity Line of Credit Agreement</w:t>
      </w:r>
    </w:p>
    <w:p>
      <w:pPr>
        <w:spacing w:after="0" w:line="227"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On September 6, 2024, the Company entered into an equity line of credit Purchase Agreement (the “ELOC Purchase Agreement”) with Arena Business Solutions Global SPC II, Ltd (“Arena Global”). Under the ELOC Purchase Agreement, Arena Global has committed to purchase up to $50 million of common stock (the “ELOC Shares”), at the Company’s direction from time to time, subject to the satisfaction of the conditions in the ELOC Purchase Agreement. In connection with the ELOC Purchase Agreement the Company agreed, among other things to issue to Arena Global, as a commitment fee (the “Commitment Shares”), that number of shares of common stock equal to 250,000 divided by the simple average of the daily volume weighted average price of common stock during the five trading days immediately preceding the effectiveness of a “shelf” registration statement on Form S-3 on which the estimated number of shares of the Company’s common stock are registered.</w:t>
      </w:r>
    </w:p>
    <w:p>
      <w:pPr>
        <w:spacing w:after="0" w:line="189" w:lineRule="exact"/>
        <w:rPr>
          <w:sz w:val="20"/>
          <w:szCs w:val="20"/>
          <w:color w:val="auto"/>
        </w:rPr>
      </w:pPr>
    </w:p>
    <w:p>
      <w:pPr>
        <w:ind w:right="220" w:firstLine="648"/>
        <w:spacing w:after="0" w:line="312" w:lineRule="auto"/>
        <w:rPr>
          <w:sz w:val="20"/>
          <w:szCs w:val="20"/>
          <w:color w:val="auto"/>
        </w:rPr>
      </w:pPr>
      <w:r>
        <w:rPr>
          <w:rFonts w:ascii="Times New Roman" w:cs="Times New Roman" w:eastAsia="Times New Roman" w:hAnsi="Times New Roman"/>
          <w:sz w:val="17"/>
          <w:szCs w:val="17"/>
          <w:color w:val="auto"/>
        </w:rPr>
        <w:t>As additional consideration for Arena Global’s execution and delivery of the ELOC Purchase Agreement, the Company issued on October 31, 2024, a five-year warrant exercisable for 585,000 shares of common stock (the “ELOC Warrant Shares”) with an exercise price equal to $1.66 per share.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14 – Subsequent Events (continued)</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Pursuant to the ELOC Purchase Agreement, the Company agreed to (i) register the resale of the ELOC Shares, Commitment Shares and ELOC Warrant Shares within 30 calendar days following the ELOC Purchase Agreement and (ii) file one or more additional registration statements for the resale by Arena Global of other Registrable Securities (as defined in the ELOC Purchase Agreement) if necessary. On November 6, 2024, the Company filed a registration statement on Form S-3 (333-283025) (the “Resale Registration Statement”) of up to 61,389,758 shares of common stock, including up to 50,000,000 shares of common stock for issuances to be made under the ELOC Purchase Agreement, up to 250,000 Commitment Shares, and up to 585,000 ELOC Warrant Shares.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First Tranche Debenture</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October 17, 2024, the Company completed the closing of the first tranche for the issuance of a 10% original issue discount secured convertible debenture (the “First Tranche Debenture”) in the principal amount of $3,333,333 at an aggregate purchase price of $3 million, with 10% original issue discount and payment-in-kind interest rate at 5%, to Arena Special Opportunities (Offshore) Master II LP (“Arena Opportunities”) pursuant to the Securities Purchase Agreement, dated September 6, 2024 (the “September 2024 Purchase Agreement”), by and between the Company and Arena Investors, LP (“Arena Investors”). The First Tranche Debenture matures on April 14, 2026. In addition, the Company issued a warrant to Arena Investors exercisable for up to 453,749 shares of common stock (the “First Tranche Warrant”). The exercise price of the First Tranche Warrant is $1.89 per share.</w:t>
      </w:r>
    </w:p>
    <w:p>
      <w:pPr>
        <w:spacing w:after="0" w:line="18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net proceeds received from the issuance of the First Tranche Debenture, after deduction of expenses reimbursable to the Arena Investors, amounted to $2,877,588.</w:t>
      </w:r>
    </w:p>
    <w:p>
      <w:pPr>
        <w:spacing w:after="0" w:line="16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Pursuant to the September 2024 Purchase Agreement, the Company and Arena Opportunities entered into a registration rights agreement (the “Registration Rights Agreement”), pursuant to which the Company agreed to file with the SEC a registration statement on Form S-3 after the closing of each tranche of the debenture to register for resale the shares of common stock issued upon conversion of the applicable debenture and the shares issuable upon exercise of any warrants issued in the applicable closing, within 20 calendar days after the closing date of the first tranche (the “Filing Deadline”) and to have such registration statement declared effective within 60 days after the Filing Deadline (or in the event of full review by the SEC, within 90 calendar days after the Filing Deadline). On November 6, 2024, the Company filed with the SEC the Resale Registration Statement, registering for resale up to 61,389,758 shares of common stock, including up to 10,101,009 shares of common stock issuable upon conversion of the First Tranche Debenture and up to 453,749 shares of common stock issuable upon the exercise of the First Tranche Warrant.</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addition, pursuant to the September 2024 Purchase Agreement, the Company; Incannex Healthcare Pty Ltd, Incannex Pty Ltd and Psychennex Pty Ltd (the “Subsidiaries”); and Arena Opportunities entered into a security agreement effective as of October 14, 2024 (the “Security Agreement”), pursuant to which the Company (i) pledged the equity interests in the Subsidiaries and (ii) granted to Arena Opportunities a security interest in, among other items, all of the Company’s owned assets, whether currently owned or later acquired, and all proceeds therefrom (the “Assets”), as set forth in the Security Agreement. In addition, the Company’s subsidiary, Incannex Healthcare Pty Ltd (IHPL) entered into a patent security agreement (the “Patent Security Agreement”) and a trademark security agreement (the “Trademark Security Agreement”), each effective as of October 14, 2024, pursuant to which IHPL granted to the investors a security interest in its patents, patent applications, and all proceeds therefrom and a security interest in its trademarks, trademark applications, and all proceeds therefrom, respectively. In addition, pursuant to the Security Agreement, the Subsidiaries granted to Arena Opportunities a security interest in its Assets and, pursuant to a Subsidiary Guarantee effective as of October 14, 2024 (the “Subsidiary Guarantee”), jointly and severally agreed to guarantee and act as surety for the Company’s obligation to repay the September 2024 Debentures and other obligations under the other transaction documents.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unaudited condensed consolidated financial statements and notes thereto included elsewhere in this Quarterly Report on Form 10-Q (this “Quarterly Report”). This Quarterly Report contains forward-looking statements. This discussion and analysis contain forward looking statements and involves numerous risks and uncertainties, including, but not limited to, those described in the “Risk Factors” section in our Annual Report on Form 10-K, as filed with the SEC on September 30, 2024 (the “2024 Annual Report”) and this Quarterly Report. We caution the reader not to place undue reliance on these forward-looking statements, which reflect management’s analysis only as of the date of this Quarterly Report. We undertake no obligation to update forward-looking statements, which reflect events or circumstances occurring after the date of this Quarterly Report.</w:t>
      </w:r>
    </w:p>
    <w:p>
      <w:pPr>
        <w:spacing w:after="0" w:line="18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Our accounting policies under U.S. GAAP are referred to in Note 1 of the unaudited condensed consolidated financial statements in this Quarterly Report. All amounts are in United States dollars, unless otherwise indicated.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are a clinical-stage biopharmaceutical development company dedicated to developing innovative medicines for patients living with serious chronic diseases and significant unmet needs. Our lead drug candidates, which are currently in Phase 2/3 and Phase 2 clinical developments, include IHL-42X for the treatment of OSA; PSX-001, our psilocybin treatment in combination with psychological therapy in development to treat patients with GAD; and IHL-675A for rheumatoid arthritis. Each of these programs target conditions that currently have limited, inadequate, or no approved pharmaceutical treatment options.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Equity-Line of Credit Purchase Agreement</w:t>
      </w:r>
    </w:p>
    <w:p>
      <w:pPr>
        <w:spacing w:after="0" w:line="22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On September 6, 2024, we entered into an equity line of credit Purchase Agreement (the “ELOC Purchase Agreement”) with Arena Business Solutions Global SPC II, Ltd (“Arena Global”). Under the ELOC Purchase Agreement Arena Global has committed to purchase up to $50 million of our common stock par value $0.0001 per share, at our direction from time to time, subject to the satisfaction of the conditions in the ELOC Purchase Agreement. The purchase price per share of our common stock is obtained by multiplying by 96% the daily volume weighted average price (“VWAP”) on The Nasdaq Global Market (“Nasdaq”) for the trading day specified in the sale notice (same trading day or one trading day following such notice) delivered to Arena Global. The ELOC Purchase Agreement will terminate automatically upon the earliest to occur of (i) the first day of the month next following the 36-month anniversary of the date of the ELOC Purchase Agreement; or (ii) the date on which Arena Global shall have purchased shares of our common stock under the ELOC Purchase Agreement for an aggregate gross purchase price equal to the Commitment Amount (as defined in the ELOC Purchase Agreement). In connection with the ELOC Purchase Agreement we agreed, among other things to issue to Arena Global, as a commitment fee, that number of shares of our common stock equal to 250,000 divided by the simple average of the daily VWAP of our common stock during the five trading days immediately preceding the effectiveness of a “shelf” registration statement on Form S-3 on which the estimated number of shares of our common stock are registered. As additional consideration for Arena Global’s execution and delivery of the ELOC Purchase Agreement, we issued on October 31, 2024, a five-year warrant (the “ELOC Warrant”) exercisable for 585,000 shares of our common stock with an exercise price equal to $1.66 per share. However, we may not sell common stock to Arena Global under the ELOC Purchase Agreement if (i) a shelf Registration Statement on Form S-3 that registers the common stock issuable under the ELOC Purchase Agreement has not been declared effective by the SEC; (ii) the number of shares of our common stock issuable to Arena Global pursuant to a sale notice causes the aggregate number of shares of our common stock beneficially owned by Arena Global and its affiliates would exceed 9.99% of the number of shares of our common stock then outstanding; (iii) the Shareholder Approval (as defined in the ELOC Purchase Agreement) to issue Common Stock in excess of the Exchange Cap (a cap limiting the issuance of shares pursuant to the ELOC Purchase Agreement and ELOC Warrant to 19.99% of the Company’s issued and outstanding shares on the date of the ELOC Purchase Agreement (3,526,802 shares of Common Stock) to the extent such prior stockholder approval would be required for compliance with the rules and regulations of Nasdaq); or (iv) such sale of shares of our common stock would exceed, during any 12-month period, one-third of the Company’s public float under the SEC’s “baby shelf” rule for SEC-registered transactions by an issuer with a public float under $75 million when using a “shelf” registration statement on Form S-3. On November 6, 2024, we filed a registration statement on Form S-3 (333-283025) registering for resale up to 61,389,758 shares of our common stock (the “Resale Registration Statement”), including the issuances to be made under the ELOC Purchase Agreement.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Debenture Financing</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On September 6, 2024, we entered into that certain Securities Purchase Agreement (the “September 2024 Purchase Agreement”) with Arena Investors, LP (“Arena Investors”) pursuant to which we will issue secured convertible debentures in an aggregate principal amount of up to $10 million at an aggregate purchase price of up to $9 million, divided into three separate tranches that are each subject to closing conditions, with a 10% original issue discount (the “September 2024 Debentures”). The conversion price of each September 2024 Debenture would be equal to 115% of the closing price of our common stock on the trading day preceding the date of the issuance of the respective September 2024 Debenture, subject to adjustments related to the trading price of our common stock on Nasdaq.</w:t>
      </w:r>
    </w:p>
    <w:p>
      <w:pPr>
        <w:spacing w:after="0" w:line="18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Pursuant to the September 2024 Purchase Agreement, we and certain of our subsidiaries (the “Subsidiaries”) and Arena Special Opportunities (Offshore) Master II LP (“Arena Opportunities”) entered into a security agreement effective as of October 14, 2024 (the “Security Agreement”), pursuant to which we (i) pledged the equity interests in the Subsidiaries and (ii) granted to Arena Opportunities a security interest in, among other items, all of our owned assets, whether currently owned or later acquired, and all proceeds therefrom (the “Assets”), as set forth in the Security Agreement. In addition, our Subsidiary, Incannex Healthcare Pty Ltd (IHPL) entered into a patent security agreement (the “Patent Security Agreement”) and a trademark security agreement (the “Trademark Security Agreement”), each effective as of October 14, 2024, pursuant to which IHPL granted to the investors a security interest in its patents, patent applications, and all proceeds therefrom and a security interest in its trademarks, trademark applications, and all proceeds therefrom, respectively. In addition, pursuant to the Security Agreement, the Subsidiaries granted to Arena Opportunities a security interest in its Assets and, pursuant to a Subsidiary Guarantee effective as of October 14, 2024 (the “Subsidiary Guarantee”), jointly and severally agreed to guarantee and act as surety for our obligation to repay the Debentures and other obligations under the other transaction documents.</w:t>
      </w:r>
    </w:p>
    <w:p>
      <w:pPr>
        <w:spacing w:after="0" w:line="19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As additional consideration for the Purchaser’s purchase of each September 2024 Debenture, we will issue a warrant (a “September 2024 Debenture Warrant”), with a five year expiration, each exercisable for number of shares of our common stock equal to 25% of the total principal amount of the related September 2024 September 2024 Debenture purchased by the Purchaser on the applicable closing date divided by 115% of the closing price of our common stock on the trading day immediately preceding such closing date. We are not obligated to issue a September 2024 Debenture Warrant with respect to any September 2024 Debenture tranche that does not close. The exercise price of each September 2024 Debenture Warrant will be 115% of the closing price of our common stock on its issuance date.</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must register the shares of our common stock issuable upon conversion of the September 2024 Debentures and exercise of the September 2024 Debenture Warrants. However, the issuance of the common stock underlying the September 2024 Debenture and the September 2024 Debenture Warrants are subject to stockholder approval to the extent the issuance would exceed 19.99% of the number of shares of our common stock outstanding as of the date of the September 2024 Purchase Agreement.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described in Note 16 of the Financial Statements included in this Quarterly Report, on October 17, 2024, we completed the closing of the first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tranche for the issuance of a 10% original issue discount secured convertible debenture (the “First Tranche Debenture”) in the principal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$3,333,333 at an aggregate purchase price of $3 million, with 10% original issue discount and payment-in-kind interest rate at 5%, to Arena Opportunities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September 2024 Purchase Agreement. The First Tranche Debenture matures on April 14, 2026. In addition, we issued a warrant to Arena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exercisable for up to 453,749 shares of common stock (the “First Tranche Warrant”). The exercise price of the First Tranche Warrant is $1.89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w:t>
      </w:r>
    </w:p>
    <w:p>
      <w:pPr>
        <w:spacing w:after="0" w:line="20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net proceeds received from the issuance of the First Tranche Debenture, after deduction of expenses reimbursable to the Arena Investors, was $2,877,588.</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Pursuant to the September 2024 Purchase Agreement, we and Arena Opportunities entered into a registration rights agreement (the “Registration Rights Agreement”), pursuant to which we agreed to file with the SEC a registration statement on Form S-3 after the closing of each tranche of the debenture to register for resale the shares of common stock issued upon conversion of the applicable debenture and the shares issuable upon exercise of any warrants issued in the applicable closing, within 20 calendar days after the closing date of the first tranche (the “Filing Deadline”) and to have such registration statement declared effective within 60 days after the Filing Deadline (or in the event of full review by the SEC, within 90 calendar days after the Filing Deadline). On November 6, 2024, we filed with the SEC the Resale Registration Statement, registering for resale up to 61,389,758 shares of common stock, including up to 10,101,009 shares of common stock issuable upon conversion of the First Tranche Debenture and up to 453,749 shares of common stock issuable upon the exercise of the First Tranche Warrant.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 Agreement</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October 9, 2024, we entered into a Facility Agreement (the “Facility Agreement”) with FC Credit Pty Ltd (“FC Credit”), pursuant to which FC Credit will provide a term loan facility for up to $4.7 million (the “Loan Facility”). On October 10, 2024, we received approximately $4.6 million as the initial drawdown amount, after deducting certain fees payable by us under the Facility Agreement. The Loan Facility has a term of 12 months from the date of the initial drawdown (the “Final Repayment Date”). Interest under the Loan Facility will accrue at the rate of 14.5% per annum and is payable on the last date of each calendar month and on the Final Repayment Date.</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This facility provides us with immediate access to funds based on research and development expenses incurred during the 2023 and 2024 financial years, aligning with the end of the Australian financial year. The Research and Development Tax Incentive (“RDTI”) program is a key program under the Australian government's innovation framework, designed to encourage companies to undertake research and development activities that benefit Australia. It offers a tax rebate, currently at 48.5%, for eligible research and development expenses, allowing companies to recoup almost half of their research and development spending.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2024 and 2023</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tables summarize our results of operations for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60" w:type="dxa"/>
            <w:vAlign w:val="bottom"/>
            <w:gridSpan w:val="6"/>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3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5"/>
          </w:tcPr>
          <w:p>
            <w:pPr>
              <w:jc w:val="right"/>
              <w:ind w:right="82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1"/>
                <w:szCs w:val="21"/>
                <w:color w:val="auto"/>
              </w:rPr>
            </w:pP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customers</w:t>
            </w:r>
          </w:p>
        </w:tc>
        <w:tc>
          <w:tcPr>
            <w:tcW w:w="16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0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(2,896)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(3,432)</w:t>
            </w:r>
          </w:p>
        </w:tc>
        <w:tc>
          <w:tcPr>
            <w:tcW w:w="240" w:type="dxa"/>
            <w:vAlign w:val="bottom"/>
          </w:tcPr>
          <w:p>
            <w:pPr>
              <w:spacing w:after="0"/>
              <w:rPr>
                <w:sz w:val="20"/>
                <w:szCs w:val="20"/>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(2,284)</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6"/>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3"/>
        </w:trPr>
        <w:tc>
          <w:tcPr>
            <w:tcW w:w="4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(6,254)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(4,892)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1,362</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R&amp;D tax credit</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811</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4,097</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(3,286)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gains (losses)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4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income/(expense), net</w:t>
            </w:r>
          </w:p>
        </w:tc>
        <w:tc>
          <w:tcPr>
            <w:tcW w:w="16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834</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4,166</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(3,332)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Currency translation adjustment, net of tax</w:t>
            </w:r>
          </w:p>
        </w:tc>
        <w:tc>
          <w:tcPr>
            <w:tcW w:w="16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(510</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849</w:t>
            </w:r>
          </w:p>
        </w:tc>
        <w:tc>
          <w:tcPr>
            <w:tcW w:w="220" w:type="dxa"/>
            <w:vAlign w:val="bottom"/>
            <w:tcBorders>
              <w:top w:val="single" w:sz="8" w:color="CCEEFF"/>
              <w:bottom w:val="single" w:sz="8" w:color="CCEEFF"/>
            </w:tcBorders>
          </w:tcPr>
          <w:p>
            <w:pPr>
              <w:spacing w:after="0"/>
              <w:rPr>
                <w:sz w:val="18"/>
                <w:szCs w:val="18"/>
                <w:color w:val="auto"/>
              </w:rPr>
            </w:pPr>
          </w:p>
        </w:tc>
        <w:tc>
          <w:tcPr>
            <w:tcW w:w="126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Customers</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have generated revenue from clinic patients on rehabilitation services which reflects the consideration to which the Company expects to be entitled in exchange for those services for the three months ended September 30, 2024. We have not generated any revenue from the sale of products. We do not expect to generate material revenues unless and until our drug candidates are approved.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external and internal costs incurred in performing clinical and preclinical development activities.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R&amp;D expenses include:</w:t>
      </w:r>
    </w:p>
    <w:p>
      <w:pPr>
        <w:spacing w:after="0" w:line="225" w:lineRule="exact"/>
        <w:rPr>
          <w:sz w:val="20"/>
          <w:szCs w:val="20"/>
          <w:color w:val="auto"/>
        </w:rPr>
      </w:pPr>
    </w:p>
    <w:p>
      <w:pPr>
        <w:ind w:left="980" w:right="22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costs incurred under agreements with CROs, contract manufacturers, consultants and other third parties to conduct and support our clinical trials and preclinical studies;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costs, including R&amp;D personnel-related expenses such as salaries, and benefits, as well as allocated facilities costs and dues and subscriptions.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expense research and development costs as incurred.</w:t>
      </w:r>
    </w:p>
    <w:p>
      <w:pPr>
        <w:spacing w:after="0" w:line="22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$0.3 million for the three months ended September 30, 2024 compared to the three months ended September 30, 2023. The increase was primarily due to the commencement of a BA/BE clinical trial investigating IHL-42X in healthy volunteers, a Phase 2 clinical trial investigating IHL-675A in patients with rheumatoid arthritis, and a Phase 2/3 clinical trial investigating IHL-42X in patients with obstructive sleep apnea.</w:t>
      </w:r>
    </w:p>
    <w:p>
      <w:pPr>
        <w:spacing w:after="0" w:line="180"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Although research and development activities are central to our business model, the successful development of our drug candidates is highly uncertain. There are numerous factors associated with the successful development of our drug candidates, including future trial design and various regulatory requirements, many of which cannot be determined with accuracy at this time based on our stage of development. In addition, future regulatory factors beyond our control may impact our clinical development programs. Drug candidates in later stages of clinical development generally have higher development costs than those in earlier stages of clinical development, primarily due to the increased size and duration of later stage clinical trials. As a result, we expect our research and development expenses will increase substantially in connection with our ongoing and planned clinical and preclinical development activities in the near term and in the future to the extent our development activities are successful. At this time, we cannot accurately estimate or know the nature, timing and costs of the efforts that will be necessary to complete the preclinical and clinical development of our drug candidates. Our research and development expenses have varied, and our future research and development expenses may vary, significantly based on a wide variety of factors such as:</w:t>
      </w:r>
    </w:p>
    <w:p>
      <w:pPr>
        <w:spacing w:after="0" w:line="194" w:lineRule="exact"/>
        <w:rPr>
          <w:sz w:val="20"/>
          <w:szCs w:val="20"/>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rate of progress, expense and results of our clinical trials and preclinical studies, including any modifications to clinical development plans based on feedback that we may receive from regulatory authorities;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additional safety monitoring requested by regulatory agencies;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of our drug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if any, of obtaining third-party drugs for use in our combination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changes in government regulation and regulatory guidance;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drug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approvals from applicable regulatory authorities;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establish additional collaboration, license, or other arrangements.</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drug candidates could significantly change the costs and timing associated with the development of that drug candidate. We may never succeed in obtaining regulatory approval for any drug candidate.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finance and accounting, human resources and other administrative functions, including salaries, stock-based compensation and benefits for employees, legal fees, expenses relating to patent and corporate matters and professional fees paid for accounting, auditing, consulting and tax services, as well as facilities-related costs not otherwise included in research and development expenses and other costs such as insurance costs and travel expenses.</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$1.1 million for the three months ended September 30, 2024, compared to the three months ended September 30, 2023. The increase was due to increase of $0.6 million in salaries, and other employee benefits (from $0.9 million to $1.5 million) as a result of the issuance of restricted stock to our directors, $0.3 million in compliance, legal and regulatory services as a result of increased legal costs to implement our re-domiciliation (from $0.8 million to $1.1 million), $52,000 in depreciation expenses and $60,000 in advertising and investor relations expense.</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anticipate our general and administrative expenses will increase substantially in the future as we expand our operations, including increasing our headcount to support our continued research and development activities and preparing for potential commercialization of our drug candidates. We also anticipate we will incur increased accounting, audit, legal, regulatory, compliance, director and officer insurance, and investor and public relations expenses associated with operating as a U.S. public company.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from R&amp;D tax credit</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receive tax incentives from the Australian government for research and development activities. Subject to certain exclusions, the Australian Government tax incentives provide benefits for eligible research and development activities. Entities are entitled to either (i) a 48.5% refundable tax offset for eligible companies with an aggregated turnover of less than A$20 million per annum or (ii) a non-refundable 38.5% tax offset for all other eligible companies. Our aggregated turnover is less than A$20 million and not be controlled by one or more income tax exempt entities, we anticipate being entitled to a claim of 48.5% refundable tax offset for costs relating to eligible research and development activities during the year.</w:t>
      </w:r>
    </w:p>
    <w:p>
      <w:pPr>
        <w:spacing w:after="0" w:line="18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Benefit from R&amp;D tax credit decreased by $3.3 million for the three months ended September 30, 2024 compared to the three months ended September 30, 2023. The decreasewas due to a decrease in the R&amp;D tax credit received from the Australian Taxation Office for our research and clinical trials activities in Australia following finalization of the fiscal year 2023 Australian tax return.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losses and Interest Income</w:t>
      </w:r>
    </w:p>
    <w:p>
      <w:pPr>
        <w:spacing w:after="0" w:line="227"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Foreign exchange losses increased by $3,000 for the three months ended September 30, 2024 compared to the three months ended September 30, 2023, due to unfavorable currency exchange rates, and interest income decreased by $43,000 due to a decrease in interest received from cash deposited in our bank accounts as a result of a decrease in the cash deposited.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translation adjustment, net of tax</w:t>
      </w:r>
    </w:p>
    <w:p>
      <w:pPr>
        <w:spacing w:after="0" w:line="22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Currency translation adjustment, net of tax increased by $0.8 million for the three months ended September 30, 2024 compared to the three months ended September 30, 2023. The increase was due to the appreciation of the Australian dollar against the U.S. dollar. We maintain our consolidated financial statements in Australian dollar, which is our functional currency. However, our financial statements are translated into US dollars for reporting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have incurred net losses since inception and expect to incur substantial and increasing losses in the future as we expand our R&amp;D activities in an effort to move our drug candidates into later stages of development. Historically, we have funded our operations primarily through the sale of equity securities, proceeds from the exercise of options, tax grants from R&amp;D activities and interest income.</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incurred total comprehensive losses of $5.1 million and $1.2 million for the three months ended September 30, 2024 and three months ended September 30, 2023, respectively. We incurred net losses of $5.4 million and $0.7 million for the three months ended September 30, 2024 and three months ended September 30, 2023, respectively. As of September 30, 2024, we had accumulated deficit of $116.1 million.</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2024, we had cash and cash equivalents of $3.6 million. We expect our negative cash flows from operating activities to continue and thus have determined that the losses and negative cash flows from operations and uncertainty in generating sufficient cash to meet our obligations and sustain our operations raise substantial doubt about our ability to continue as a going concern for at least one year from the issuance date of the financial statements included in this Quarterly Report.</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2024, we experienced net cash used in operating activities of $2.5 million, a decrease of $3.2 million compared to the three months ended September 30, 2023. As of September 30, 2024, we had cash and cash equivalents of $3.6 million, a decrease of $2.2 million compared to our cash and cash equivalents as of June 30, 2024 of $5.9 million. As of September 30, 2024, our current assets exceed our current liabilities by $6.0 million, a $4.6 million decrease compared to the difference between our current assets and current liabilities as of June 30, 2024 of $11.4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Refer to Note 2 – Basis of Presentation and Summary of Significant Accounting Policies – Going Concern Basis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cash flows for the for the three months ended September 30, 2024 and three months ended September 30, 2023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(in thousands):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80" w:type="dxa"/>
            <w:vAlign w:val="bottom"/>
          </w:tcPr>
          <w:p>
            <w:pPr>
              <w:spacing w:after="0"/>
              <w:rPr>
                <w:sz w:val="24"/>
                <w:szCs w:val="24"/>
                <w:color w:val="auto"/>
              </w:rPr>
            </w:pPr>
          </w:p>
        </w:tc>
        <w:tc>
          <w:tcPr>
            <w:tcW w:w="10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80" w:type="dxa"/>
            <w:vAlign w:val="bottom"/>
          </w:tcPr>
          <w:p>
            <w:pPr>
              <w:spacing w:after="0"/>
              <w:rPr>
                <w:sz w:val="18"/>
                <w:szCs w:val="18"/>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45"/>
        </w:trPr>
        <w:tc>
          <w:tcPr>
            <w:tcW w:w="86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1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(decrease)/increase in cash</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(5,970)</w:t>
            </w:r>
          </w:p>
        </w:tc>
      </w:tr>
      <w:tr>
        <w:trPr>
          <w:trHeight w:val="20"/>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flows from operating activities</w:t>
      </w:r>
    </w:p>
    <w:p>
      <w:pPr>
        <w:spacing w:after="0" w:line="22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Cash used in operating activities decreased by $3.5 million for the three months ended September 30, 2024, compared to the three months ended September 30, 2023. The decrease was due to a decrease in in R&amp;D tax incentive received (from $4.1 to $0.7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flows from investing activities</w:t>
      </w:r>
    </w:p>
    <w:p>
      <w:pPr>
        <w:spacing w:after="0" w:line="22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decreased by $0.2 million for the three months ended September 30, 2024 compared to the three months ended September 30, 2023. The decrease was due to no spending on property, plant and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decreased by $0.05 million for the three months ended September 30, 2024 and the three months ended September 30,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unaudited interim condensed consolidated financial statements as of September 30, 2024, which have been prepared in accordance with U.S. generally accepted accounting principles (“U.S. GAAP”). The preparation of these unaudited interim condensed consolidated financial statements requires our management to make judgments and estimates that affect the reported amounts of assets, liabilities, costs and expenses, and the disclosure of contingent assets and liabilities during the reporting periods. We base our estimates on historical experience, known trends and events, and various other factors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9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described in the Company’s Annual Report on Form 10-K, we believe the following accounting policies are those most critical to the judgments and estimates used in the preparation of our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account for stock-based compensation arrangements with employees and non-employees using a fair value method which requires the recognition of compensation expense for costs related to all stock-based payments including share options. The fair value method requires us to estimate the fair value of stock-based payment awards on the date of grant using an option-pricing model. We use either the trinomial pricing or Black-Scholes option-pricing model to estimate the fair value of options granted. Stock-based compensation awards are expensed using the graded vesting method over the requisite service period, which is generally the vesting period, for each separately vesting tranche. We have elected a policy of estimating forfeitures at grant date. Option valuation models, including the trinomial pricing and Black-Scholes option-pricing model, require the input of several assumptions. These inputs are subjective and generally require significant analysis and judgment to develop.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consist of salaries, benefits and other personnel related costs including equity-based compensation expense, laboratory supplies, preclinical studies, clinical trials and related clinical manufacturing costs, costs related to manufacturing preparations, fees paid to other entities to conduct certain research and development activities on our behalf and allocated facility and other related costs.</w:t>
      </w:r>
    </w:p>
    <w:p>
      <w:pPr>
        <w:spacing w:after="0" w:line="18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Nonrefundable advance payments for goods or services that will be used or rendered for future research and development activities are deferred and capitalized as prepaid expenses until the related goods are delivered or services are performed.</w:t>
      </w:r>
    </w:p>
    <w:p>
      <w:pPr>
        <w:spacing w:after="0" w:line="16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record accrued liabilities for estimated costs of research and development activities conducted by third-party service providers, which include the conduct of preclinical studies and clinical trials, and contract manufacturing activities. We record the estimated costs of research and development activities based upon the estimated amount of services provided but not yet invoiced and includes these costs in trade and other payables on the consolidated balance sheets and within research and development expenses on the consolidated statements of operations and comprehensive loss.</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accrue for these costs based on factors such as estimates of the work completed and in accordance with agreements established with its third-party service providers. We make significant judgments and estimates in determining the accrued liabilities balance at the end of each reporting period. As actual costs become known, we adjust our accrued liabilities. We have not experienced any material differences between accrued costs and actual costs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from R&amp;D Tax Incentive</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Benefit from R&amp;D tax credit consists of the R&amp;D tax credit received in Australia, which is recorded within other income (expense), net. The Company recognizes grants once both of the following conditions are met: (i) the Company is able to comply with the relevant conditions of the grant and (ii) the grant is received.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“smaller reporting company” (as defined by Item 10 of Regulation S-K), we are permitted to omit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under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or persons performing similar functions,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as of the end of the period covered by this Quarterly Report, the effectiveness of the design and operation of our disclosure controls and procedures. Based upon that evaluation, our Chief Executive Officer and Chief Financial Officer concluded that, as of September 30, 2024, our disclosure controls and procedures were not effective at the reasonable assurance level due to the material weakness in internal control over financial reporting which existed as of September 30, 2024, relating to the documentation of accounting policies and procedures, particularly relating to the correct application of complex accounting measures as previously reported in our 2024 Annual Report.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ind w:firstLine="648"/>
        <w:spacing w:after="0" w:line="258" w:lineRule="auto"/>
        <w:rPr>
          <w:sz w:val="20"/>
          <w:szCs w:val="20"/>
          <w:color w:val="auto"/>
        </w:rPr>
      </w:pPr>
      <w:r>
        <w:rPr>
          <w:rFonts w:ascii="Times New Roman" w:cs="Times New Roman" w:eastAsia="Times New Roman" w:hAnsi="Times New Roman"/>
          <w:sz w:val="18"/>
          <w:szCs w:val="18"/>
          <w:color w:val="auto"/>
        </w:rPr>
        <w:t>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 Management has concluded that we did not maintain effective disclosure controls and procedures due to the material weakness in internal control over financial reporting which existed as of September 30, 2024, relating to the documentation of accounting policies and procedures, particularly relating to the correct application of complex accounting measures.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Efforts</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measures that we are undertaking to remediate the material weakness in internal control over financial reporting have and will include: (a) hiring qualified internal control personnel or consultants to manage the implementation of internal control policies, procedures and improvement of the internal audit function, as applicable; (b) developing and implementing written policies and procedures for accounting and financial reporting that meet the standards applied to public companies listed in the United States; and (c) conducting internal control training to management, key operations personnel and the accounting department, so that management and relevant personnel understand the requirements and elements of internal control over financial reporting mandated by the US securities laws.</w:t>
      </w:r>
    </w:p>
    <w:p>
      <w:pPr>
        <w:spacing w:after="0" w:line="187"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We believe we have made progress in accordance with our remediation plan even though the material weaknesses will not be considered remediated until we have completed implementing the necessary additional applicable controls and operate with them for a sufficient period of time to allow management and our auditors to concluded that these controls are operating effectively.</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cannot determine when our remediation plan will be fully completed and we cannot provide any assurance that these remediation efforts will be successful or that our internal control over financial reporting will be effective as a result of these efforts.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Other than the remediation of the material weakness discussed above, there were no changes in our internal controls over financial reporting (as such term is defined in Rules 13a-15(d) and 15d-15(d) under the Exchange Act) that occurred during three months ended September 30, 2024 that have materially affected, or are reasonably likely to materially affect, our internal control over financial reporting.</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26" w:name="page27"/>
    <w:bookmarkEnd w:id="2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arising in the ordinary course of our business. We are not currently a party to any material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reputational harm and other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set forth in Part I, Item 1A, “Risk Factors,” of the 2024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jc w:val="center"/>
        <w:ind w:right="87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none of our directors or officers adopted or terminated “Rule 10b5-1 trading arrangement” or “non-Rule 10b5-1 trading arrangement,” as each term is defined in Item 408 of Regulation S-K.</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3"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6 is set forth on the Exhibit Index that immediately precedes the signature page to this report and is incorporated herein by reference.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9960" w:type="dxa"/>
            <w:vAlign w:val="bottom"/>
            <w:tcBorders>
              <w:top w:val="single" w:sz="8" w:color="auto"/>
              <w:bottom w:val="single" w:sz="8" w:color="0000EE"/>
            </w:tcBorders>
            <w:gridSpan w:val="25"/>
            <w:shd w:val="clear" w:color="auto" w:fill="CCEEFF"/>
          </w:tcPr>
          <w:p>
            <w:pPr>
              <w:spacing w:after="0" w:line="17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Deed of Amendment and Restatement to Scheme Implementation Deed, dated September 13, 2023, between Incannex Healthcare Limited</w:t>
              </w:r>
            </w:hyperlink>
          </w:p>
        </w:tc>
        <w:tc>
          <w:tcPr>
            <w:tcW w:w="140" w:type="dxa"/>
            <w:vAlign w:val="bottom"/>
            <w:tcBorders>
              <w:top w:val="single" w:sz="8" w:color="auto"/>
              <w:bottom w:val="single" w:sz="8" w:color="CCEEFF"/>
            </w:tcBorders>
            <w:gridSpan w:val="6"/>
            <w:shd w:val="clear" w:color="auto" w:fill="CCEEFF"/>
          </w:tcPr>
          <w:p>
            <w:pPr>
              <w:spacing w:after="0"/>
              <w:rPr>
                <w:sz w:val="15"/>
                <w:szCs w:val="15"/>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920" w:type="dxa"/>
            <w:vAlign w:val="bottom"/>
            <w:tcBorders>
              <w:bottom w:val="single" w:sz="8" w:color="0000EE"/>
            </w:tcBorders>
            <w:gridSpan w:val="23"/>
            <w:shd w:val="clear" w:color="auto" w:fill="CCEEFF"/>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and Incannex Healthcare Inc. (incorporated by reference to Exhibit 2.1 of the Company’s Current Report on Form 8-K filed with the SEC</w:t>
              </w:r>
            </w:hyperlink>
          </w:p>
        </w:tc>
        <w:tc>
          <w:tcPr>
            <w:tcW w:w="180" w:type="dxa"/>
            <w:vAlign w:val="bottom"/>
            <w:tcBorders>
              <w:bottom w:val="single" w:sz="8" w:color="CCEEFF"/>
            </w:tcBorders>
            <w:gridSpan w:val="8"/>
            <w:shd w:val="clear" w:color="auto" w:fill="CCEEFF"/>
          </w:tcPr>
          <w:p>
            <w:pPr>
              <w:spacing w:after="0"/>
              <w:rPr>
                <w:sz w:val="17"/>
                <w:szCs w:val="17"/>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31"/>
            <w:shd w:val="clear" w:color="auto" w:fill="CCEEFF"/>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on November 29, 2023).</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10100" w:type="dxa"/>
            <w:vAlign w:val="bottom"/>
            <w:gridSpan w:val="31"/>
          </w:tcPr>
          <w:p>
            <w:pPr>
              <w:spacing w:after="0" w:line="17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Amended and Restated Certificate of Incorporation, as filed with the Secretary of State of the State of Delaware on July 31, 2023</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1"/>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(incorporated by reference to Exhibit 3.1 of the Company’s Current Report on Form 8-K filed with the SEC on November 29, 2023).</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Amended and Restated Bylaws, dated November 20, 2023 (incorporated by reference to Exhibit 3.2 of the Company’s Current Report on</w:t>
              </w:r>
            </w:hyperlink>
          </w:p>
        </w:tc>
        <w:tc>
          <w:tcPr>
            <w:tcW w:w="220" w:type="dxa"/>
            <w:vAlign w:val="bottom"/>
            <w:tcBorders>
              <w:bottom w:val="single" w:sz="8" w:color="CCEEFF"/>
            </w:tcBorders>
            <w:gridSpan w:val="10"/>
            <w:shd w:val="clear" w:color="auto" w:fill="CCEEFF"/>
          </w:tcPr>
          <w:p>
            <w:pPr>
              <w:spacing w:after="0"/>
              <w:rPr>
                <w:sz w:val="15"/>
                <w:szCs w:val="15"/>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31"/>
            <w:shd w:val="clear" w:color="auto" w:fill="CCEEFF"/>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Form 8-K filed with the SEC on November 29, 2023).</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00" w:type="dxa"/>
            <w:vAlign w:val="bottom"/>
            <w:gridSpan w:val="31"/>
          </w:tcPr>
          <w:p>
            <w:pPr>
              <w:spacing w:after="0" w:line="17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Description of Capital Stock (incorporated by reference to Exhibit 99.1 of the Company’s Current Report on Form 8-K filed with the SEC</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4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on November 29, 2023).</w:t>
              </w:r>
            </w:hyperlink>
          </w:p>
        </w:tc>
        <w:tc>
          <w:tcPr>
            <w:tcW w:w="160" w:type="dxa"/>
            <w:vAlign w:val="bottom"/>
            <w:gridSpan w:val="7"/>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986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Debenture, dated October 14, 2024 (incorporated by reference to Exhibit 4.2 of the Company’s Registration Statement on Form S-3 filed</w:t>
              </w:r>
            </w:hyperlink>
          </w:p>
        </w:tc>
        <w:tc>
          <w:tcPr>
            <w:tcW w:w="240" w:type="dxa"/>
            <w:vAlign w:val="bottom"/>
            <w:tcBorders>
              <w:bottom w:val="single" w:sz="8" w:color="CCEEFF"/>
            </w:tcBorders>
            <w:gridSpan w:val="11"/>
            <w:shd w:val="clear" w:color="auto" w:fill="CCEEFF"/>
          </w:tcPr>
          <w:p>
            <w:pPr>
              <w:spacing w:after="0"/>
              <w:rPr>
                <w:sz w:val="15"/>
                <w:szCs w:val="15"/>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31"/>
            <w:shd w:val="clear" w:color="auto" w:fill="CCEEFF"/>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with the SEC on November 6, 2024).</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10100" w:type="dxa"/>
            <w:vAlign w:val="bottom"/>
            <w:gridSpan w:val="31"/>
          </w:tcPr>
          <w:p>
            <w:pPr>
              <w:spacing w:after="0" w:line="17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First Tranche Warrant (incorporated by reference to Exhibit 4.3 of the Company’s Registration Statement on Form S-3 filed with the SEC</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0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on November 6, 2024).</w:t>
              </w:r>
            </w:hyperlink>
          </w:p>
        </w:tc>
        <w:tc>
          <w:tcPr>
            <w:tcW w:w="200" w:type="dxa"/>
            <w:vAlign w:val="bottom"/>
            <w:gridSpan w:val="9"/>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5"/>
                <w:szCs w:val="15"/>
                <w:color w:val="auto"/>
              </w:rPr>
            </w:pPr>
          </w:p>
        </w:tc>
        <w:tc>
          <w:tcPr>
            <w:tcW w:w="10100" w:type="dxa"/>
            <w:vAlign w:val="bottom"/>
            <w:gridSpan w:val="31"/>
            <w:shd w:val="clear" w:color="auto" w:fill="CCEEFF"/>
          </w:tcPr>
          <w:p>
            <w:pPr>
              <w:spacing w:after="0" w:line="17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ELOC Warrant (incorporated by reference to Exhibit 4.4 of the Company’s Registration Statement on Form S-3 filed with the SEC on</w:t>
              </w:r>
            </w:hyperlink>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0000EE"/>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November 6, 2024).</w:t>
              </w:r>
            </w:hyperlink>
          </w:p>
        </w:tc>
        <w:tc>
          <w:tcPr>
            <w:tcW w:w="8180" w:type="dxa"/>
            <w:vAlign w:val="bottom"/>
            <w:tcBorders>
              <w:top w:val="single" w:sz="8" w:color="0000EE"/>
              <w:bottom w:val="single" w:sz="8" w:color="CCEEFF"/>
            </w:tcBorders>
            <w:gridSpan w:val="14"/>
            <w:shd w:val="clear" w:color="auto" w:fill="CCEEFF"/>
          </w:tcPr>
          <w:p>
            <w:pPr>
              <w:spacing w:after="0"/>
              <w:rPr>
                <w:sz w:val="18"/>
                <w:szCs w:val="18"/>
                <w:color w:val="auto"/>
              </w:rPr>
            </w:pPr>
          </w:p>
        </w:tc>
        <w:tc>
          <w:tcPr>
            <w:tcW w:w="460" w:type="dxa"/>
            <w:vAlign w:val="bottom"/>
            <w:tcBorders>
              <w:top w:val="single" w:sz="8" w:color="CCEEFF"/>
              <w:bottom w:val="single" w:sz="8" w:color="CCEEFF"/>
            </w:tcBorders>
            <w:gridSpan w:val="15"/>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00" w:type="dxa"/>
            <w:vAlign w:val="bottom"/>
            <w:gridSpan w:val="31"/>
          </w:tcPr>
          <w:p>
            <w:pPr>
              <w:spacing w:after="0" w:line="17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Purchase Agreement between Incannex Healthcare Inc. and Arena Business Solutions Global SPC II, Ltd, dated as of September 6, 2024</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(incorporated by reference to Exhibit 10.1 of the Company’s Current Report on Form 8-K filed with the SEC on September 10, 2024).</w:t>
              </w:r>
            </w:hyperlink>
          </w:p>
        </w:tc>
        <w:tc>
          <w:tcPr>
            <w:tcW w:w="240" w:type="dxa"/>
            <w:vAlign w:val="bottom"/>
            <w:gridSpan w:val="11"/>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040" w:type="dxa"/>
            <w:vAlign w:val="bottom"/>
            <w:tcBorders>
              <w:bottom w:val="single" w:sz="8" w:color="0000EE"/>
            </w:tcBorders>
            <w:gridSpan w:val="29"/>
            <w:shd w:val="clear" w:color="auto" w:fill="CCEEFF"/>
          </w:tcPr>
          <w:p>
            <w:pPr>
              <w:spacing w:after="0" w:line="17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Securities Purchase Agreement between Incannex Healthcare Inc. and Arena Investors, LP, dated as of September 6, 2024 (incorporated by</w:t>
              </w:r>
            </w:hyperlink>
          </w:p>
        </w:tc>
        <w:tc>
          <w:tcPr>
            <w:tcW w:w="60" w:type="dxa"/>
            <w:vAlign w:val="bottom"/>
            <w:tcBorders>
              <w:bottom w:val="single" w:sz="8" w:color="CCEEFF"/>
            </w:tcBorders>
            <w:gridSpan w:val="2"/>
            <w:shd w:val="clear" w:color="auto" w:fill="CCEEFF"/>
          </w:tcPr>
          <w:p>
            <w:pPr>
              <w:spacing w:after="0"/>
              <w:rPr>
                <w:sz w:val="15"/>
                <w:szCs w:val="15"/>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31"/>
            <w:shd w:val="clear" w:color="auto" w:fill="CCEEFF"/>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reference to Exhibit 10.1 of the Company’s Current Report on Form 8-K filed with the SEC on September 10, 2024).</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4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5"/>
                <w:szCs w:val="15"/>
                <w:color w:val="auto"/>
              </w:rPr>
            </w:pPr>
          </w:p>
        </w:tc>
        <w:tc>
          <w:tcPr>
            <w:tcW w:w="982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Form of Facility Agreement between Incannex Healthcare Pty Ltd, Incannex Pty Ltd, Psychennex Pty Ltd, and FC Credit Pty Ltd, dated</w:t>
              </w:r>
            </w:hyperlink>
          </w:p>
        </w:tc>
        <w:tc>
          <w:tcPr>
            <w:tcW w:w="280" w:type="dxa"/>
            <w:vAlign w:val="bottom"/>
            <w:gridSpan w:val="12"/>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1"/>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October 9, 2024. (incorporated by reference to Exhibit 10.1 of the Company’s Current Report on Form 8-K filed with the SEC on October</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15, 2024).</w:t>
              </w:r>
            </w:hyperlink>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4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10040" w:type="dxa"/>
            <w:vAlign w:val="bottom"/>
            <w:tcBorders>
              <w:bottom w:val="single" w:sz="8" w:color="0000EE"/>
            </w:tcBorders>
            <w:gridSpan w:val="29"/>
            <w:shd w:val="clear" w:color="auto" w:fill="CCEEFF"/>
          </w:tcPr>
          <w:p>
            <w:pPr>
              <w:spacing w:after="0" w:line="17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First Registration Rights Agreement (incorporated by reference to Exhibit 10.3 of the Company’s Registration Statement on Form S-3 filed</w:t>
              </w:r>
            </w:hyperlink>
          </w:p>
        </w:tc>
        <w:tc>
          <w:tcPr>
            <w:tcW w:w="60" w:type="dxa"/>
            <w:vAlign w:val="bottom"/>
            <w:tcBorders>
              <w:bottom w:val="single" w:sz="8" w:color="CCEEFF"/>
            </w:tcBorders>
            <w:gridSpan w:val="2"/>
            <w:shd w:val="clear" w:color="auto" w:fill="CCEEFF"/>
          </w:tcPr>
          <w:p>
            <w:pPr>
              <w:spacing w:after="0"/>
              <w:rPr>
                <w:sz w:val="15"/>
                <w:szCs w:val="15"/>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31"/>
            <w:shd w:val="clear" w:color="auto" w:fill="CCEEFF"/>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with the SEC on November 6, 2024).</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1"/>
          </w:tcPr>
          <w:p>
            <w:pPr>
              <w:spacing w:after="0" w:line="17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Security Agreement (incorporated by reference to Exhibit 10.4 of the Company’s Registration Statement on Form S-3 filed with the SEC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1"/>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November 6, 2024).</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27"/>
            <w:shd w:val="clear" w:color="auto" w:fill="CCEEFF"/>
          </w:tcPr>
          <w:p>
            <w:pPr>
              <w:spacing w:after="0" w:line="17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Patent Security Agreement (incorporated by reference to Exhibit 10.5 of the Company’s Registration Statement on Form S-3 filed with the</w:t>
              </w:r>
            </w:hyperlink>
          </w:p>
        </w:tc>
        <w:tc>
          <w:tcPr>
            <w:tcW w:w="100" w:type="dxa"/>
            <w:vAlign w:val="bottom"/>
            <w:tcBorders>
              <w:bottom w:val="single" w:sz="8" w:color="CCEEFF"/>
            </w:tcBorders>
            <w:gridSpan w:val="4"/>
            <w:shd w:val="clear" w:color="auto" w:fill="CCEEFF"/>
          </w:tcPr>
          <w:p>
            <w:pPr>
              <w:spacing w:after="0"/>
              <w:rPr>
                <w:sz w:val="15"/>
                <w:szCs w:val="15"/>
                <w:color w:val="auto"/>
              </w:rPr>
            </w:pP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SEC on November 6, 2024).</w:t>
              </w:r>
            </w:hyperlink>
          </w:p>
        </w:tc>
        <w:tc>
          <w:tcPr>
            <w:tcW w:w="8040" w:type="dxa"/>
            <w:vAlign w:val="bottom"/>
            <w:tcBorders>
              <w:bottom w:val="single" w:sz="8" w:color="CCEEFF"/>
            </w:tcBorders>
            <w:gridSpan w:val="25"/>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5"/>
                <w:szCs w:val="15"/>
                <w:color w:val="auto"/>
              </w:rPr>
            </w:pPr>
          </w:p>
        </w:tc>
        <w:tc>
          <w:tcPr>
            <w:tcW w:w="10060" w:type="dxa"/>
            <w:vAlign w:val="bottom"/>
            <w:tcBorders>
              <w:bottom w:val="single" w:sz="8" w:color="0000EE"/>
            </w:tcBorders>
            <w:gridSpan w:val="30"/>
          </w:tcPr>
          <w:p>
            <w:pPr>
              <w:spacing w:after="0" w:line="17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Trademark Security Agreement (incorporated by reference to Exhibit 10.6 of the Company’s Registration Statement on Form S-3 filed with</w:t>
              </w:r>
            </w:hyperlink>
          </w:p>
        </w:tc>
        <w:tc>
          <w:tcPr>
            <w:tcW w:w="4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1"/>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the SEC on November 6, 2024).</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15"/>
                <w:szCs w:val="15"/>
                <w:color w:val="auto"/>
              </w:rPr>
            </w:pPr>
          </w:p>
        </w:tc>
        <w:tc>
          <w:tcPr>
            <w:tcW w:w="9980" w:type="dxa"/>
            <w:vAlign w:val="bottom"/>
            <w:tcBorders>
              <w:bottom w:val="single" w:sz="8" w:color="0000EE"/>
            </w:tcBorders>
            <w:gridSpan w:val="26"/>
            <w:shd w:val="clear" w:color="auto" w:fill="CCEEFF"/>
          </w:tcPr>
          <w:p>
            <w:pPr>
              <w:spacing w:after="0" w:line="17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Subsidiary Guarantee (incorporated by reference to Exhibit 10.7 of the Company’s Registration Statement on Form S-3 filed with the SEC</w:t>
              </w:r>
            </w:hyperlink>
          </w:p>
        </w:tc>
        <w:tc>
          <w:tcPr>
            <w:tcW w:w="120" w:type="dxa"/>
            <w:vAlign w:val="bottom"/>
            <w:tcBorders>
              <w:bottom w:val="single" w:sz="8" w:color="CCEEFF"/>
            </w:tcBorders>
            <w:gridSpan w:val="5"/>
            <w:shd w:val="clear" w:color="auto" w:fill="CCEEFF"/>
          </w:tcPr>
          <w:p>
            <w:pPr>
              <w:spacing w:after="0"/>
              <w:rPr>
                <w:sz w:val="15"/>
                <w:szCs w:val="15"/>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on November 6, 2024).</w:t>
              </w:r>
            </w:hyperlink>
          </w:p>
        </w:tc>
        <w:tc>
          <w:tcPr>
            <w:tcW w:w="8420" w:type="dxa"/>
            <w:vAlign w:val="bottom"/>
            <w:tcBorders>
              <w:bottom w:val="single" w:sz="8" w:color="CCEEFF"/>
            </w:tcBorders>
            <w:gridSpan w:val="27"/>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5"/>
                <w:szCs w:val="15"/>
                <w:color w:val="auto"/>
              </w:rPr>
            </w:pPr>
          </w:p>
        </w:tc>
        <w:tc>
          <w:tcPr>
            <w:tcW w:w="934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Employment Agreement, effective October 21, 2024, by and between the Company and Luigi M. Barbato, M.D. (incorporated by</w:t>
              </w:r>
            </w:hyperlink>
          </w:p>
        </w:tc>
        <w:tc>
          <w:tcPr>
            <w:tcW w:w="760" w:type="dxa"/>
            <w:vAlign w:val="bottom"/>
            <w:gridSpan w:val="17"/>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1"/>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referenced to Exhibit 10.1 of the Company’s Current Report on Form 8-K filed with the SEC on October 24, 2024).</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4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7"/>
                <w:szCs w:val="17"/>
                <w:color w:val="auto"/>
              </w:rPr>
            </w:pPr>
          </w:p>
        </w:tc>
        <w:tc>
          <w:tcPr>
            <w:tcW w:w="1010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Required Under Rule 13a-14(a) of the Securities Exchange Act of 1934, as amended.</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top w:val="single" w:sz="8" w:color="CCEEFF"/>
            </w:tcBorders>
          </w:tcPr>
          <w:p>
            <w:pPr>
              <w:spacing w:after="0"/>
              <w:rPr>
                <w:sz w:val="15"/>
                <w:szCs w:val="15"/>
                <w:color w:val="auto"/>
              </w:rPr>
            </w:pPr>
          </w:p>
        </w:tc>
        <w:tc>
          <w:tcPr>
            <w:tcW w:w="930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Required Under Rule 13a-14(a) of the Securities Exchange Act of 1934, as amended.</w:t>
            </w:r>
          </w:p>
        </w:tc>
        <w:tc>
          <w:tcPr>
            <w:tcW w:w="800" w:type="dxa"/>
            <w:vAlign w:val="bottom"/>
            <w:tcBorders>
              <w:top w:val="single" w:sz="8" w:color="CCEEFF"/>
            </w:tcBorders>
            <w:gridSpan w:val="18"/>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10020" w:type="dxa"/>
            <w:vAlign w:val="bottom"/>
            <w:tcBorders>
              <w:bottom w:val="single" w:sz="8" w:color="0000EE"/>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and Principal Financial Officer Required Under Rule 13a-14(b) of the Securities Exchange Act</w:t>
            </w:r>
          </w:p>
        </w:tc>
        <w:tc>
          <w:tcPr>
            <w:tcW w:w="80" w:type="dxa"/>
            <w:vAlign w:val="bottom"/>
            <w:tcBorders>
              <w:bottom w:val="single" w:sz="8" w:color="CCEEFF"/>
            </w:tcBorders>
            <w:gridSpan w:val="3"/>
            <w:shd w:val="clear" w:color="auto" w:fill="CCEEFF"/>
          </w:tcPr>
          <w:p>
            <w:pPr>
              <w:spacing w:after="0"/>
              <w:rPr>
                <w:sz w:val="15"/>
                <w:szCs w:val="15"/>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3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of 1934, as amended, and 18 U.S.C. Section 1350.</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5"/>
                <w:szCs w:val="15"/>
                <w:color w:val="auto"/>
              </w:rPr>
            </w:pPr>
          </w:p>
        </w:tc>
        <w:tc>
          <w:tcPr>
            <w:tcW w:w="9800" w:type="dxa"/>
            <w:vAlign w:val="bottom"/>
            <w:tcBorders>
              <w:bottom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Required Under Rule 13a-14(b) of the Securities Exchange Act of 1934, as amended, and 18</w:t>
            </w:r>
          </w:p>
        </w:tc>
        <w:tc>
          <w:tcPr>
            <w:tcW w:w="300" w:type="dxa"/>
            <w:vAlign w:val="bottom"/>
            <w:gridSpan w:val="13"/>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U.S.C. Section 1350.</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4280" w:firstLine="8"/>
        <w:spacing w:after="0" w:line="489" w:lineRule="auto"/>
        <w:tabs>
          <w:tab w:leader="none" w:pos="11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w:t>
      </w:r>
    </w:p>
    <w:p>
      <w:pPr>
        <w:spacing w:after="0" w:line="225" w:lineRule="exact"/>
        <w:rPr>
          <w:sz w:val="20"/>
          <w:szCs w:val="20"/>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to this exhibit have been omitted pursuant to Item 601(a)(5) of Regulation S-K. Copies of the omitted schedules will be furnished to the SEC upon request.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jc w:val="center"/>
        <w:ind w:right="-3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Incannex Healthcare Inc.</w:t>
      </w:r>
    </w:p>
    <w:p>
      <w:pPr>
        <w:spacing w:after="0" w:line="22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November 14, 2024</w:t>
      </w:r>
      <w:r>
        <w:rPr>
          <w:sz w:val="20"/>
          <w:szCs w:val="20"/>
          <w:color w:val="auto"/>
        </w:rPr>
        <w:tab/>
      </w:r>
      <w:r>
        <w:rPr>
          <w:rFonts w:ascii="Times New Roman" w:cs="Times New Roman" w:eastAsia="Times New Roman" w:hAnsi="Times New Roman"/>
          <w:sz w:val="18"/>
          <w:szCs w:val="18"/>
          <w:color w:val="auto"/>
        </w:rPr>
        <w:t>By: /s/ Joel Latham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Joel Latham</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 Director and President</w:t>
      </w:r>
    </w:p>
    <w:p>
      <w:pPr>
        <w:spacing w:after="0" w:line="20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November 14, 2024</w:t>
      </w:r>
      <w:r>
        <w:rPr>
          <w:sz w:val="20"/>
          <w:szCs w:val="20"/>
          <w:color w:val="auto"/>
        </w:rPr>
        <w:tab/>
      </w:r>
      <w:r>
        <w:rPr>
          <w:rFonts w:ascii="Times New Roman" w:cs="Times New Roman" w:eastAsia="Times New Roman" w:hAnsi="Times New Roman"/>
          <w:sz w:val="18"/>
          <w:szCs w:val="18"/>
          <w:color w:val="auto"/>
        </w:rPr>
        <w:t>By: /s/ Joseph Swan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Joseph Swan</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 Treasurer and Secretary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877" w:right="65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Joel Latham,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2024 of Incannex Healthcare Inc. (the “Company”);</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62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20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most recent fiscal quarter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30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Joel Latham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Joel Latham</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Swan,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2024 of Incannex Healthcare Inc. (the “Company”);</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62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20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most recent fiscal quarter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30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Swan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Joseph Swan</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Financial Officer, Treasurer and Secretary</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207"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Incannex Healthcare Inc. (the “Company”) on Form 10-Q for the quarter ended September 30, 2024 (the “Report”) as filed with the Securities and Exchange Commission on the date hereof, I, Joel Latham,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as amended; and</w:t>
      </w:r>
    </w:p>
    <w:p>
      <w:pPr>
        <w:spacing w:after="0" w:line="225" w:lineRule="exact"/>
        <w:rPr>
          <w:rFonts w:ascii="Times New Roman" w:cs="Times New Roman" w:eastAsia="Times New Roman" w:hAnsi="Times New Roman"/>
          <w:sz w:val="18"/>
          <w:szCs w:val="18"/>
          <w:color w:val="auto"/>
        </w:rPr>
      </w:pPr>
    </w:p>
    <w:p>
      <w:pPr>
        <w:ind w:right="460" w:firstLine="8"/>
        <w:spacing w:after="0" w:line="500" w:lineRule="auto"/>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14, 2024</w:t>
      </w:r>
    </w:p>
    <w:p>
      <w:pPr>
        <w:spacing w:after="0" w:line="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Joel Latham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Joel Latham</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207"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Incannex Healthcare Inc. (the “Company”) on Form 10-Q for the quarter ended September 30, 2024 (the “Report”) as filed with the Securities and Exchange Commission on the date hereof, I, Joseph Swan,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as amended; and</w:t>
      </w:r>
    </w:p>
    <w:p>
      <w:pPr>
        <w:spacing w:after="0" w:line="225" w:lineRule="exact"/>
        <w:rPr>
          <w:rFonts w:ascii="Times New Roman" w:cs="Times New Roman" w:eastAsia="Times New Roman" w:hAnsi="Times New Roman"/>
          <w:sz w:val="18"/>
          <w:szCs w:val="18"/>
          <w:color w:val="auto"/>
        </w:rPr>
      </w:pPr>
    </w:p>
    <w:p>
      <w:pPr>
        <w:ind w:right="460" w:firstLine="8"/>
        <w:spacing w:after="0" w:line="500" w:lineRule="auto"/>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14, 2024</w:t>
      </w:r>
    </w:p>
    <w:p>
      <w:pPr>
        <w:spacing w:after="0" w:line="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Swan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Joseph Swan</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Treasurer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and Secretary</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04"/>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55" Type="http://schemas.openxmlformats.org/officeDocument/2006/relationships/image" Target="media/image33.png"/><Relationship Id="rId56" Type="http://schemas.openxmlformats.org/officeDocument/2006/relationships/image" Target="media/image34.png"/><Relationship Id="rId57" Type="http://schemas.openxmlformats.org/officeDocument/2006/relationships/image" Target="media/image35.png"/><Relationship Id="rId58" Type="http://schemas.openxmlformats.org/officeDocument/2006/relationships/image" Target="media/image36.png"/><Relationship Id="rId59"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40" Type="http://schemas.openxmlformats.org/officeDocument/2006/relationships/hyperlink" Target="https://www.sec.gov/Archives/edgar/data/1873875/000121390023091083/ea189032ex2-1_incannex.htm" TargetMode="External"/><Relationship Id="rId41" Type="http://schemas.openxmlformats.org/officeDocument/2006/relationships/hyperlink" Target="https://www.sec.gov/Archives/edgar/data/1873875/000121390023091083/ea189032ex3-1_incannex.htm" TargetMode="External"/><Relationship Id="rId42" Type="http://schemas.openxmlformats.org/officeDocument/2006/relationships/hyperlink" Target="https://www.sec.gov/Archives/edgar/data/1873875/000121390023091083/ea189032ex3-2_incannex.htm" TargetMode="External"/><Relationship Id="rId43" Type="http://schemas.openxmlformats.org/officeDocument/2006/relationships/hyperlink" Target="http://www.sec.gov/Archives/edgar/data/1873875/000121390023091083/ea189032ex99-1_incannex.htm" TargetMode="External"/><Relationship Id="rId44" Type="http://schemas.openxmlformats.org/officeDocument/2006/relationships/hyperlink" Target="https://www.sec.gov/Archives/edgar/data/1873875/000121390024094985/ea021980601ex4-2_incannex.htm" TargetMode="External"/><Relationship Id="rId45" Type="http://schemas.openxmlformats.org/officeDocument/2006/relationships/hyperlink" Target="https://www.sec.gov/Archives/edgar/data/1873875/000121390024094985/ea021980601ex4-3_incannex.htm" TargetMode="External"/><Relationship Id="rId46" Type="http://schemas.openxmlformats.org/officeDocument/2006/relationships/hyperlink" Target="https://www.sec.gov/Archives/edgar/data/1873875/000121390024094985/ea021980601ex4-4_incannex.htm" TargetMode="External"/><Relationship Id="rId47" Type="http://schemas.openxmlformats.org/officeDocument/2006/relationships/hyperlink" Target="https://www.sec.gov/ix?doc=/Archives/edgar/data/1873875/000121390024077119/ea0214062-8k_incannex.htm" TargetMode="External"/><Relationship Id="rId48" Type="http://schemas.openxmlformats.org/officeDocument/2006/relationships/hyperlink" Target="https://www.sec.gov/Archives/edgar/data/1873875/000121390024087764/ea021760101ex10-1_incannex.htm" TargetMode="External"/><Relationship Id="rId49" Type="http://schemas.openxmlformats.org/officeDocument/2006/relationships/hyperlink" Target="https://www.sec.gov/Archives/edgar/data/1873875/000121390024094985/ea021980601ex10-3_incannex.htm" TargetMode="External"/><Relationship Id="rId50" Type="http://schemas.openxmlformats.org/officeDocument/2006/relationships/hyperlink" Target="https://www.sec.gov/Archives/edgar/data/1873875/000121390024094985/ea021980601ex10-4_incannex.htm" TargetMode="External"/><Relationship Id="rId51" Type="http://schemas.openxmlformats.org/officeDocument/2006/relationships/hyperlink" Target="https://www.sec.gov/Archives/edgar/data/1873875/000121390024094985/ea021980601ex10-5_incannex.htm" TargetMode="External"/><Relationship Id="rId52" Type="http://schemas.openxmlformats.org/officeDocument/2006/relationships/hyperlink" Target="https://www.sec.gov/Archives/edgar/data/1873875/000121390024094985/ea021980601ex10-6_incannex.htm" TargetMode="External"/><Relationship Id="rId53" Type="http://schemas.openxmlformats.org/officeDocument/2006/relationships/hyperlink" Target="https://www.sec.gov/Archives/edgar/data/1873875/000121390024094985/ea021980601ex10-7_incannex.htm" TargetMode="External"/><Relationship Id="rId54" Type="http://schemas.openxmlformats.org/officeDocument/2006/relationships/hyperlink" Target="https://www.sec.gov/Archives/edgar/data/1873875/000121390024090121/ea021850601ex10-1_incann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2024-11-14T15:26:42Z</dcterms:created>
  <dcterms:modified xsi:type="dcterms:W3CDTF">2024-11-14T15:26:42Z</dcterms:modified>
</cp:coreProperties>
</file>