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2780" w:right="940" w:hanging="1834"/>
        <w:spacing w:after="0" w:line="500" w:lineRule="auto"/>
        <w:tabs>
          <w:tab w:leader="none" w:pos="115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001-41106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93-2403210</w:t>
            </w:r>
          </w:p>
        </w:tc>
      </w:tr>
      <w:tr>
        <w:trPr>
          <w:trHeight w:val="194"/>
        </w:trPr>
        <w:tc>
          <w:tcPr>
            <w:tcW w:w="5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Rialto South Tower</w:t>
            </w:r>
          </w:p>
        </w:tc>
        <w:tc>
          <w:tcPr>
            <w:tcW w:w="5500" w:type="dxa"/>
            <w:vAlign w:val="bottom"/>
          </w:tcPr>
          <w:p>
            <w:pPr>
              <w:spacing w:after="0"/>
              <w:rPr>
                <w:sz w:val="24"/>
                <w:szCs w:val="24"/>
                <w:color w:val="auto"/>
              </w:rPr>
            </w:pPr>
          </w:p>
        </w:tc>
      </w:tr>
      <w:tr>
        <w:trPr>
          <w:trHeight w:val="216"/>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Level 23, 525 Collins Street</w:t>
            </w:r>
          </w:p>
        </w:tc>
        <w:tc>
          <w:tcPr>
            <w:tcW w:w="5500" w:type="dxa"/>
            <w:vAlign w:val="bottom"/>
          </w:tcPr>
          <w:p>
            <w:pPr>
              <w:spacing w:after="0"/>
              <w:rPr>
                <w:sz w:val="18"/>
                <w:szCs w:val="18"/>
                <w:color w:val="auto"/>
              </w:rPr>
            </w:pPr>
          </w:p>
        </w:tc>
      </w:tr>
      <w:tr>
        <w:trPr>
          <w:trHeight w:val="216"/>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Melbourne VIC 3008</w:t>
            </w:r>
          </w:p>
        </w:tc>
        <w:tc>
          <w:tcPr>
            <w:tcW w:w="5500" w:type="dxa"/>
            <w:vAlign w:val="bottom"/>
          </w:tcPr>
          <w:p>
            <w:pPr>
              <w:spacing w:after="0"/>
              <w:rPr>
                <w:sz w:val="18"/>
                <w:szCs w:val="18"/>
                <w:color w:val="auto"/>
              </w:rPr>
            </w:pPr>
          </w:p>
        </w:tc>
      </w:t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Australia</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3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+61 409 840 786</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IXHL</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198"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9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15, 2026, the registrant had 11,964,554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72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298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03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I—FINANCIAL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1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rPr>
                <w:sz w:val="15"/>
                <w:szCs w:val="15"/>
                <w:color w:val="auto"/>
              </w:rPr>
            </w:pPr>
          </w:p>
        </w:tc>
        <w:tc>
          <w:tcPr>
            <w:tcW w:w="9560" w:type="dxa"/>
            <w:vAlign w:val="bottom"/>
            <w:gridSpan w:val="18"/>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9560" w:type="dxa"/>
            <w:vAlign w:val="bottom"/>
            <w:gridSpan w:val="1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Loss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rPr>
                <w:sz w:val="15"/>
                <w:szCs w:val="15"/>
                <w:color w:val="auto"/>
              </w:rPr>
            </w:pPr>
          </w:p>
        </w:tc>
        <w:tc>
          <w:tcPr>
            <w:tcW w:w="9560" w:type="dxa"/>
            <w:vAlign w:val="bottom"/>
            <w:gridSpan w:val="18"/>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(Deficit)</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9560" w:type="dxa"/>
            <w:vAlign w:val="bottom"/>
            <w:gridSpan w:val="1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rPr>
                <w:sz w:val="15"/>
                <w:szCs w:val="15"/>
                <w:color w:val="auto"/>
              </w:rPr>
            </w:pPr>
          </w:p>
        </w:tc>
        <w:tc>
          <w:tcPr>
            <w:tcW w:w="9560" w:type="dxa"/>
            <w:vAlign w:val="bottom"/>
            <w:gridSpan w:val="18"/>
          </w:tcPr>
          <w:p>
            <w:pPr>
              <w:ind w:left="140"/>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18"/>
          </w:tcPr>
          <w:p>
            <w:pPr>
              <w:ind w:left="14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1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92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II—OTHER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1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560" w:type="dxa"/>
            <w:vAlign w:val="bottom"/>
            <w:gridSpan w:val="18"/>
          </w:tcPr>
          <w:p>
            <w:pPr>
              <w:ind w:left="14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560" w:type="dxa"/>
            <w:vAlign w:val="bottom"/>
            <w:gridSpan w:val="18"/>
          </w:tcPr>
          <w:p>
            <w:pPr>
              <w:ind w:left="14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560" w:type="dxa"/>
            <w:vAlign w:val="bottom"/>
            <w:gridSpan w:val="1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3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within the meaning of Section 27A of the Securities Act of 1933, as amended, and Section 21E of the Securities Exchange Act of 1934, as amended, adopted pursuant to the Private Securities Litigation Reform Act of 1995. All statements other than statements of historical facts contained in this Quarterly Report,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89" w:lineRule="exact"/>
        <w:rPr>
          <w:sz w:val="20"/>
          <w:szCs w:val="20"/>
          <w:color w:val="auto"/>
        </w:rPr>
      </w:pPr>
    </w:p>
    <w:p>
      <w:pPr>
        <w:ind w:left="980" w:right="14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product development and business strategies, including our ability to continue to pursue development pathways and regulatory strategies for IHL-42X, PSX-001, and IHL-675A and any of our other drug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market size and related future growth 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(“R&amp;D”) activities, including clinical testing and manufacturing and the related costs and timing;</w:t>
      </w:r>
    </w:p>
    <w:p>
      <w:pPr>
        <w:spacing w:after="0" w:line="225"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required to conduct additional clinical studies or trials for our drug candidates and the consequences resulting from the delay in obtaining necessary regulatory approvals;</w:t>
      </w:r>
    </w:p>
    <w:p>
      <w:pPr>
        <w:spacing w:after="0" w:line="161"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regulatory filings and approvals, including the benefits of FDA Fast Track designation, and our ability to obtain and maintain regulatory approvals for our drug candidates for any indication;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coverage and reimbursement of our drug candidates, if approved and commercialized;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drugs or therapies currently marketed or in development for our target indications;</w:t>
      </w:r>
    </w:p>
    <w:p>
      <w:pPr>
        <w:spacing w:after="0" w:line="225"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around feedback from and discussions with regulators, regulatory development paths and with respect to Controlled Substances Act designation;</w:t>
      </w:r>
    </w:p>
    <w:p>
      <w:pPr>
        <w:spacing w:after="0" w:line="161"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or maintain effective patent rights and other intellectual property protection for our drug candidates, and to prevent competitors from using technologies we consider important to the successful development and commercialization of our drug candidates;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revenues, financial performance and capital requirements, including the length of time our capital resources will sustain our operations, plans regarding our share repurchase program and future capital raising needs or expectations;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drug candidates and to generate revenues;</w:t>
      </w:r>
    </w:p>
    <w:p>
      <w:pPr>
        <w:spacing w:after="0" w:line="225"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including our ability to obtain the funding necessary to advance the development of our drug candidates and our expectations regarding the sufficiency of our capital resources;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attract qualified employees, directors, consultants and advisors;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 w:name="page4"/>
    <w:bookmarkEnd w:id="3"/>
    <w:p>
      <w:pPr>
        <w:ind w:left="980" w:right="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comply with applicable privacy laws, cybersecurity requirements and protect confidential information from security breaches;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recent and potential future changes in healthcare policy could negatively impact our business and financial condition;</w:t>
      </w:r>
    </w:p>
    <w:p>
      <w:pPr>
        <w:spacing w:after="0" w:line="225"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global economic and political developments, including existing regional conflicts, pandemics, natural disasters, tariffs and trade restrictions affecting the pharmaceutical and life sciences industry, and the indirect and/or long-term impact of inflation, will affect our business operations, supply chain, clinical trials, or financial condition;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 of assumptions underlying any of the foregoing.</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Quarterly Report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previously disclosed in Item 1A in our Annual Report on Form 10-K for the fiscal year ended June 30, 2025, as filed with the Securities and Exchange Commission (the “SEC”) on September 29, 2025 (the “2025 Annual Report”). These risks are not exhaustive. Other sections of this Quarterly Report may include additional factors that could harm our business and financial performance.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The results, events and circumstances reflected in the forward-looking statements may not be achieved or occur, and actual results, events or circumstances could differ materially from those described in the forward-looking statements.</w:t>
      </w:r>
    </w:p>
    <w:p>
      <w:pPr>
        <w:spacing w:after="0" w:line="19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relate only to events as of the date on which the statements are made. We undertake no obligation to update any forward-looking statements made in this Quarterly Report to reflect events or circumstances after the date of this Quarterly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w:t>
      </w:r>
    </w:p>
    <w:p>
      <w:pPr>
        <w:spacing w:after="0" w:line="225"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(https://www.incannex.com/investors/). We therefore encourage investors and others interested in our company to review the information that we make available on our website. Our website and information included in or linked to our website are not part of this Quarterly Report.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9"/>
              </w:rPr>
              <w:t>INCANNEX HEALTHCARE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w w:val="99"/>
              </w:rPr>
              <w:t>(in thousands, except share and per share amounts)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w w:val="99"/>
              </w:rPr>
              <w:t>(expressed in U.S. Dollars, unless otherwise stated)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74,450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(“R&amp;D”) tax incentive receivable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5,240</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80,095</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19,962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80,283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1,927</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6,984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5,049</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7,058</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800,000,000 shares authorized; 13,683,121 and 6,479,333 shares issued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outstanding at March 31, 2026 and June 30, 2025,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10,000,000 shares authorized; no shares issued or outstanding at each of</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31, 2026 and June 30, 2025</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253,216</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(174,367)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(157,556)</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(3,656)</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(3,124)</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75,234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13,389</w:t>
            </w:r>
          </w:p>
        </w:tc>
        <w:tc>
          <w:tcPr>
            <w:tcW w:w="10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80,283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INCANNEX HEALTHCARE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(expressed in U.S. Dollars, unless otherwise 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8"/>
                <w:szCs w:val="18"/>
                <w:color w:val="auto"/>
              </w:rPr>
            </w:pPr>
          </w:p>
        </w:tc>
        <w:tc>
          <w:tcPr>
            <w:tcW w:w="242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customers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(321)</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(2,735)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(3,721)</w:t>
            </w: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(7,045)</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20"/>
                <w:szCs w:val="20"/>
                <w:color w:val="auto"/>
              </w:rPr>
            </w:pPr>
          </w:p>
        </w:tc>
        <w:tc>
          <w:tcPr>
            <w:tcW w:w="12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(3,727)</w:t>
            </w:r>
          </w:p>
        </w:tc>
        <w:tc>
          <w:tcPr>
            <w:tcW w:w="320" w:type="dxa"/>
            <w:vAlign w:val="bottom"/>
          </w:tcPr>
          <w:p>
            <w:pPr>
              <w:spacing w:after="0"/>
              <w:rPr>
                <w:sz w:val="20"/>
                <w:szCs w:val="20"/>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(2,268)</w:t>
            </w:r>
          </w:p>
        </w:tc>
        <w:tc>
          <w:tcPr>
            <w:tcW w:w="12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(14,115)</w:t>
            </w:r>
          </w:p>
        </w:tc>
        <w:tc>
          <w:tcPr>
            <w:tcW w:w="340" w:type="dxa"/>
            <w:vAlign w:val="bottom"/>
          </w:tcPr>
          <w:p>
            <w:pPr>
              <w:spacing w:after="0"/>
              <w:rPr>
                <w:sz w:val="20"/>
                <w:szCs w:val="20"/>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(9,302)</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(4,048</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(17,836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(16,347</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(4,048)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(5,003)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(17,836)</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(16,261)</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R&amp;D tax incentive</w:t>
            </w:r>
          </w:p>
        </w:tc>
        <w:tc>
          <w:tcPr>
            <w:tcW w:w="12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953</w:t>
            </w: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gains/(losses)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rights</w:t>
            </w:r>
          </w:p>
        </w:tc>
        <w:tc>
          <w:tcPr>
            <w:tcW w:w="12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380</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1,824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380</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issuance costs</w:t>
            </w:r>
          </w:p>
        </w:tc>
        <w:tc>
          <w:tcPr>
            <w:tcW w:w="120" w:type="dxa"/>
            <w:vAlign w:val="bottom"/>
          </w:tcPr>
          <w:p>
            <w:pPr>
              <w:spacing w:after="0"/>
              <w:rPr>
                <w:sz w:val="18"/>
                <w:szCs w:val="18"/>
                <w:color w:val="auto"/>
              </w:rPr>
            </w:pPr>
          </w:p>
        </w:tc>
        <w:tc>
          <w:tcPr>
            <w:tcW w:w="12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(284)</w:t>
            </w:r>
          </w:p>
        </w:tc>
        <w:tc>
          <w:tcPr>
            <w:tcW w:w="32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(284)</w:t>
            </w:r>
          </w:p>
        </w:tc>
        <w:tc>
          <w:tcPr>
            <w:tcW w:w="3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ELOC commitment fee</w:t>
            </w:r>
          </w:p>
        </w:tc>
        <w:tc>
          <w:tcPr>
            <w:tcW w:w="12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of earnings (loss) of joint venture</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income, net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165</w:t>
            </w:r>
          </w:p>
        </w:tc>
        <w:tc>
          <w:tcPr>
            <w:tcW w:w="26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1,035</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1,025</w:t>
            </w:r>
          </w:p>
        </w:tc>
        <w:tc>
          <w:tcPr>
            <w:tcW w:w="22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979</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(3,883</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(16,811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(15,282</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(3,883</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(16,811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(15,282</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Other comprehensive income/(loss):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(468)</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(532)</w:t>
            </w:r>
          </w:p>
        </w:tc>
        <w:tc>
          <w:tcPr>
            <w:tcW w:w="34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comprehensive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(4,351</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(4,056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(17,343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(15,445</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basic and diluted</w:t>
            </w:r>
          </w:p>
        </w:tc>
        <w:tc>
          <w:tcPr>
            <w:tcW w:w="1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12,348,460</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654,418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11,451,276</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607,962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INCANNEX HEALTHCARE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(expressed in U.S. Dollars, unless otherwise 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1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1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00" w:type="dxa"/>
            <w:vAlign w:val="bottom"/>
            <w:gridSpan w:val="5"/>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4"/>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1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59"/>
        </w:trPr>
        <w:tc>
          <w:tcPr>
            <w:tcW w:w="394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80" w:type="dxa"/>
            <w:vAlign w:val="bottom"/>
          </w:tcPr>
          <w:p>
            <w:pPr>
              <w:spacing w:after="0"/>
              <w:rPr>
                <w:sz w:val="22"/>
                <w:szCs w:val="22"/>
                <w:color w:val="auto"/>
              </w:rPr>
            </w:pPr>
          </w:p>
        </w:tc>
        <w:tc>
          <w:tcPr>
            <w:tcW w:w="1220" w:type="dxa"/>
            <w:vAlign w:val="bottom"/>
            <w:gridSpan w:val="4"/>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220" w:type="dxa"/>
            <w:vAlign w:val="bottom"/>
            <w:gridSpan w:val="4"/>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11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12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2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1220" w:type="dxa"/>
            <w:vAlign w:val="bottom"/>
            <w:gridSpan w:val="4"/>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4"/>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175"/>
        </w:trPr>
        <w:tc>
          <w:tcPr>
            <w:tcW w:w="3940" w:type="dxa"/>
            <w:vAlign w:val="bottom"/>
          </w:tcPr>
          <w:p>
            <w:pPr>
              <w:spacing w:after="0"/>
              <w:rPr>
                <w:sz w:val="15"/>
                <w:szCs w:val="15"/>
                <w:color w:val="auto"/>
              </w:rPr>
            </w:pPr>
          </w:p>
        </w:tc>
        <w:tc>
          <w:tcPr>
            <w:tcW w:w="1040" w:type="dxa"/>
            <w:vAlign w:val="bottom"/>
            <w:tcBorders>
              <w:top w:val="single" w:sz="8" w:color="auto"/>
            </w:tcBorders>
            <w:gridSpan w:val="3"/>
          </w:tcPr>
          <w:p>
            <w:pPr>
              <w:ind w:left="54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5"/>
                <w:szCs w:val="15"/>
                <w:color w:val="auto"/>
              </w:rPr>
            </w:pPr>
          </w:p>
        </w:tc>
        <w:tc>
          <w:tcPr>
            <w:tcW w:w="820" w:type="dxa"/>
            <w:vAlign w:val="bottom"/>
            <w:tcBorders>
              <w:top w:val="single" w:sz="8" w:color="auto"/>
            </w:tcBorders>
            <w:gridSpan w:val="3"/>
          </w:tcPr>
          <w:p>
            <w:pPr>
              <w:jc w:val="right"/>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top w:val="single" w:sz="8" w:color="auto"/>
            </w:tcBorders>
            <w:gridSpan w:val="3"/>
          </w:tcPr>
          <w:p>
            <w:pPr>
              <w:jc w:val="right"/>
              <w:ind w:right="40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top w:val="single" w:sz="8" w:color="auto"/>
            </w:tcBorders>
            <w:gridSpan w:val="3"/>
          </w:tcPr>
          <w:p>
            <w:pPr>
              <w:jc w:val="right"/>
              <w:ind w:right="40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5"/>
                <w:szCs w:val="15"/>
                <w:color w:val="auto"/>
              </w:rPr>
            </w:pPr>
          </w:p>
        </w:tc>
        <w:tc>
          <w:tcPr>
            <w:tcW w:w="1000" w:type="dxa"/>
            <w:vAlign w:val="bottom"/>
            <w:tcBorders>
              <w:top w:val="single" w:sz="8" w:color="auto"/>
            </w:tcBorders>
            <w:gridSpan w:val="3"/>
          </w:tcPr>
          <w:p>
            <w:pPr>
              <w:jc w:val="right"/>
              <w:ind w:right="40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5"/>
                <w:szCs w:val="15"/>
                <w:color w:val="auto"/>
              </w:rPr>
            </w:pPr>
          </w:p>
        </w:tc>
        <w:tc>
          <w:tcPr>
            <w:tcW w:w="1060" w:type="dxa"/>
            <w:vAlign w:val="bottom"/>
            <w:tcBorders>
              <w:top w:val="single" w:sz="8" w:color="auto"/>
            </w:tcBorders>
            <w:gridSpan w:val="3"/>
          </w:tcPr>
          <w:p>
            <w:pPr>
              <w:jc w:val="right"/>
              <w:ind w:right="44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6,479,333</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20</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(157,556)</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2,626</w:t>
            </w:r>
          </w:p>
        </w:tc>
        <w:tc>
          <w:tcPr>
            <w:tcW w:w="130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w:t>
            </w:r>
          </w:p>
        </w:tc>
        <w:tc>
          <w:tcPr>
            <w:tcW w:w="12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5,110,850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15</w:t>
            </w:r>
          </w:p>
        </w:tc>
        <w:tc>
          <w:tcPr>
            <w:tcW w:w="11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69,450</w:t>
            </w:r>
          </w:p>
        </w:tc>
        <w:tc>
          <w:tcPr>
            <w:tcW w:w="1300" w:type="dxa"/>
            <w:vAlign w:val="bottom"/>
            <w:gridSpan w:val="5"/>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69,465</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1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(2,288)</w:t>
            </w:r>
          </w:p>
        </w:tc>
        <w:tc>
          <w:tcPr>
            <w:tcW w:w="130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(2,288)</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5"/>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(6,407)</w:t>
            </w:r>
          </w:p>
        </w:tc>
        <w:tc>
          <w:tcPr>
            <w:tcW w:w="1220" w:type="dxa"/>
            <w:vAlign w:val="bottom"/>
            <w:gridSpan w:val="4"/>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(6,407)</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223</w:t>
            </w: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7"/>
        </w:trPr>
        <w:tc>
          <w:tcPr>
            <w:tcW w:w="3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vMerge w:val="continue"/>
            <w:shd w:val="clear" w:color="auto" w:fill="CCEEFF"/>
          </w:tcPr>
          <w:p>
            <w:pPr>
              <w:spacing w:after="0"/>
              <w:rPr>
                <w:sz w:val="21"/>
                <w:szCs w:val="21"/>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11,590,183</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35</w:t>
            </w:r>
          </w:p>
        </w:tc>
        <w:tc>
          <w:tcPr>
            <w:tcW w:w="11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243,837</w:t>
            </w:r>
          </w:p>
        </w:tc>
        <w:tc>
          <w:tcPr>
            <w:tcW w:w="80" w:type="dxa"/>
            <w:vAlign w:val="bottom"/>
            <w:vMerge w:val="continue"/>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(163,963</w:t>
            </w:r>
          </w:p>
        </w:tc>
        <w:tc>
          <w:tcPr>
            <w:tcW w:w="220" w:type="dxa"/>
            <w:vAlign w:val="bottom"/>
            <w:vMerge w:val="continue"/>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220" w:type="dxa"/>
            <w:vAlign w:val="bottom"/>
            <w:vMerge w:val="continue"/>
            <w:shd w:val="clear" w:color="auto" w:fill="CCEEFF"/>
          </w:tcPr>
          <w:p>
            <w:pPr>
              <w:spacing w:after="0"/>
              <w:rPr>
                <w:sz w:val="21"/>
                <w:szCs w:val="21"/>
                <w:color w:val="auto"/>
              </w:rPr>
            </w:pP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77,008</w:t>
            </w:r>
          </w:p>
        </w:tc>
        <w:tc>
          <w:tcPr>
            <w:tcW w:w="0" w:type="dxa"/>
            <w:vAlign w:val="bottom"/>
          </w:tcPr>
          <w:p>
            <w:pPr>
              <w:spacing w:after="0"/>
              <w:rPr>
                <w:sz w:val="1"/>
                <w:szCs w:val="1"/>
                <w:color w:val="auto"/>
              </w:rPr>
            </w:pPr>
          </w:p>
        </w:tc>
      </w:tr>
      <w:tr>
        <w:trPr>
          <w:trHeight w:val="21"/>
        </w:trPr>
        <w:tc>
          <w:tcPr>
            <w:tcW w:w="39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940" w:type="dxa"/>
            <w:vAlign w:val="bottom"/>
            <w:vMerge w:val="continue"/>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w:t>
            </w:r>
          </w:p>
        </w:tc>
        <w:tc>
          <w:tcPr>
            <w:tcW w:w="12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487,246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2,196</w:t>
            </w:r>
          </w:p>
        </w:tc>
        <w:tc>
          <w:tcPr>
            <w:tcW w:w="1300" w:type="dxa"/>
            <w:vAlign w:val="bottom"/>
            <w:gridSpan w:val="5"/>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Share repurchase</w:t>
            </w:r>
          </w:p>
        </w:tc>
        <w:tc>
          <w:tcPr>
            <w:tcW w:w="12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(103,466)</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(1,179)</w:t>
            </w:r>
          </w:p>
        </w:tc>
        <w:tc>
          <w:tcPr>
            <w:tcW w:w="130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12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w:t>
            </w:r>
          </w:p>
        </w:tc>
        <w:tc>
          <w:tcPr>
            <w:tcW w:w="1300" w:type="dxa"/>
            <w:vAlign w:val="bottom"/>
            <w:gridSpan w:val="5"/>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5"/>
          </w:tcPr>
          <w:p>
            <w:pPr>
              <w:jc w:val="right"/>
              <w:ind w:right="81"/>
              <w:spacing w:after="0"/>
              <w:rPr>
                <w:sz w:val="20"/>
                <w:szCs w:val="20"/>
                <w:color w:val="auto"/>
              </w:rPr>
            </w:pPr>
            <w:r>
              <w:rPr>
                <w:rFonts w:ascii="Times New Roman" w:cs="Times New Roman" w:eastAsia="Times New Roman" w:hAnsi="Times New Roman"/>
                <w:sz w:val="18"/>
                <w:szCs w:val="18"/>
                <w:color w:val="auto"/>
              </w:rPr>
              <w:t>(6,521)</w:t>
            </w:r>
          </w:p>
        </w:tc>
        <w:tc>
          <w:tcPr>
            <w:tcW w:w="122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(6,521)</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5"/>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(287)</w:t>
            </w: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940" w:type="dxa"/>
            <w:vAlign w:val="bottom"/>
            <w:vMerge w:val="continue"/>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11,973,963</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36</w:t>
            </w: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247,042</w:t>
            </w:r>
          </w:p>
        </w:tc>
        <w:tc>
          <w:tcPr>
            <w:tcW w:w="80" w:type="dxa"/>
            <w:vAlign w:val="bottom"/>
            <w:vMerge w:val="continue"/>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(170,484</w:t>
            </w:r>
          </w:p>
        </w:tc>
        <w:tc>
          <w:tcPr>
            <w:tcW w:w="220" w:type="dxa"/>
            <w:vAlign w:val="bottom"/>
            <w:vMerge w:val="continue"/>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220" w:type="dxa"/>
            <w:vAlign w:val="bottom"/>
            <w:vMerge w:val="continue"/>
          </w:tcPr>
          <w:p>
            <w:pPr>
              <w:spacing w:after="0"/>
              <w:rPr>
                <w:sz w:val="24"/>
                <w:szCs w:val="24"/>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73,406</w:t>
            </w:r>
          </w:p>
        </w:tc>
        <w:tc>
          <w:tcPr>
            <w:tcW w:w="0" w:type="dxa"/>
            <w:vAlign w:val="bottom"/>
          </w:tcPr>
          <w:p>
            <w:pPr>
              <w:spacing w:after="0"/>
              <w:rPr>
                <w:sz w:val="1"/>
                <w:szCs w:val="1"/>
                <w:color w:val="auto"/>
              </w:rPr>
            </w:pPr>
          </w:p>
        </w:tc>
      </w:tr>
      <w:tr>
        <w:trPr>
          <w:trHeight w:val="216"/>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w:t>
            </w:r>
          </w:p>
        </w:tc>
        <w:tc>
          <w:tcPr>
            <w:tcW w:w="1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1,997,285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6,667</w:t>
            </w:r>
          </w:p>
        </w:tc>
        <w:tc>
          <w:tcPr>
            <w:tcW w:w="130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w:t>
            </w:r>
          </w:p>
        </w:tc>
        <w:tc>
          <w:tcPr>
            <w:tcW w:w="12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(290,561)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(1,138)</w:t>
            </w:r>
          </w:p>
        </w:tc>
        <w:tc>
          <w:tcPr>
            <w:tcW w:w="1300" w:type="dxa"/>
            <w:vAlign w:val="bottom"/>
            <w:gridSpan w:val="5"/>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1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(823)</w:t>
            </w:r>
          </w:p>
        </w:tc>
        <w:tc>
          <w:tcPr>
            <w:tcW w:w="130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Fractional adjustment</w:t>
            </w:r>
          </w:p>
        </w:tc>
        <w:tc>
          <w:tcPr>
            <w:tcW w:w="12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5"/>
          </w:tcPr>
          <w:p>
            <w:pPr>
              <w:jc w:val="right"/>
              <w:ind w:right="81"/>
              <w:spacing w:after="0"/>
              <w:rPr>
                <w:sz w:val="20"/>
                <w:szCs w:val="20"/>
                <w:color w:val="auto"/>
              </w:rPr>
            </w:pPr>
            <w:r>
              <w:rPr>
                <w:rFonts w:ascii="Times New Roman" w:cs="Times New Roman" w:eastAsia="Times New Roman" w:hAnsi="Times New Roman"/>
                <w:sz w:val="18"/>
                <w:szCs w:val="18"/>
                <w:color w:val="auto"/>
              </w:rPr>
              <w:t>(3,883)</w:t>
            </w:r>
          </w:p>
        </w:tc>
        <w:tc>
          <w:tcPr>
            <w:tcW w:w="122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(3,883)</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5"/>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(468)</w:t>
            </w: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vMerge w:val="continue"/>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13,683,121</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41</w:t>
            </w: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253,216</w:t>
            </w:r>
          </w:p>
        </w:tc>
        <w:tc>
          <w:tcPr>
            <w:tcW w:w="80" w:type="dxa"/>
            <w:vAlign w:val="bottom"/>
            <w:vMerge w:val="continue"/>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(174,367</w:t>
            </w:r>
          </w:p>
        </w:tc>
        <w:tc>
          <w:tcPr>
            <w:tcW w:w="220" w:type="dxa"/>
            <w:vAlign w:val="bottom"/>
            <w:vMerge w:val="continue"/>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220" w:type="dxa"/>
            <w:vAlign w:val="bottom"/>
            <w:vMerge w:val="continue"/>
          </w:tcPr>
          <w:p>
            <w:pPr>
              <w:spacing w:after="0"/>
              <w:rPr>
                <w:sz w:val="20"/>
                <w:szCs w:val="20"/>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75,234</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3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4"/>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1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1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00" w:type="dxa"/>
            <w:vAlign w:val="bottom"/>
            <w:gridSpan w:val="5"/>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4"/>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1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80" w:type="dxa"/>
            <w:vAlign w:val="bottom"/>
          </w:tcPr>
          <w:p>
            <w:pPr>
              <w:spacing w:after="0"/>
              <w:rPr>
                <w:sz w:val="21"/>
                <w:szCs w:val="21"/>
                <w:color w:val="auto"/>
              </w:rPr>
            </w:pPr>
          </w:p>
        </w:tc>
        <w:tc>
          <w:tcPr>
            <w:tcW w:w="1220" w:type="dxa"/>
            <w:vAlign w:val="bottom"/>
            <w:gridSpan w:val="4"/>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220" w:type="dxa"/>
            <w:vAlign w:val="bottom"/>
            <w:gridSpan w:val="4"/>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11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1260" w:type="dxa"/>
            <w:vAlign w:val="bottom"/>
            <w:tcBorders>
              <w:top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20" w:type="dxa"/>
            <w:vAlign w:val="bottom"/>
            <w:tcBorders>
              <w:top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0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0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588,094</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(110,671)</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459</w:t>
            </w:r>
          </w:p>
        </w:tc>
        <w:tc>
          <w:tcPr>
            <w:tcW w:w="130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w:t>
            </w:r>
          </w:p>
        </w:tc>
        <w:tc>
          <w:tcPr>
            <w:tcW w:w="12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5"/>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5"/>
          </w:tcPr>
          <w:p>
            <w:pPr>
              <w:jc w:val="right"/>
              <w:ind w:right="81"/>
              <w:spacing w:after="0"/>
              <w:rPr>
                <w:sz w:val="20"/>
                <w:szCs w:val="20"/>
                <w:color w:val="auto"/>
              </w:rPr>
            </w:pPr>
            <w:r>
              <w:rPr>
                <w:rFonts w:ascii="Times New Roman" w:cs="Times New Roman" w:eastAsia="Times New Roman" w:hAnsi="Times New Roman"/>
                <w:sz w:val="18"/>
                <w:szCs w:val="18"/>
                <w:color w:val="auto"/>
              </w:rPr>
              <w:t>(5,420)</w:t>
            </w:r>
          </w:p>
        </w:tc>
        <w:tc>
          <w:tcPr>
            <w:tcW w:w="122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(5,420)</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5"/>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339</w:t>
            </w: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940" w:type="dxa"/>
            <w:vAlign w:val="bottom"/>
            <w:vMerge w:val="continue"/>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588,094</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125,677</w:t>
            </w:r>
          </w:p>
        </w:tc>
        <w:tc>
          <w:tcPr>
            <w:tcW w:w="80" w:type="dxa"/>
            <w:vAlign w:val="bottom"/>
            <w:vMerge w:val="continue"/>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(116,091</w:t>
            </w:r>
          </w:p>
        </w:tc>
        <w:tc>
          <w:tcPr>
            <w:tcW w:w="220" w:type="dxa"/>
            <w:vAlign w:val="bottom"/>
            <w:vMerge w:val="continue"/>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220" w:type="dxa"/>
            <w:vAlign w:val="bottom"/>
            <w:vMerge w:val="continue"/>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w:t>
            </w:r>
          </w:p>
        </w:tc>
        <w:tc>
          <w:tcPr>
            <w:tcW w:w="1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4,747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242</w:t>
            </w:r>
          </w:p>
        </w:tc>
        <w:tc>
          <w:tcPr>
            <w:tcW w:w="130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5"/>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(5,894)</w:t>
            </w:r>
          </w:p>
        </w:tc>
        <w:tc>
          <w:tcPr>
            <w:tcW w:w="1220" w:type="dxa"/>
            <w:vAlign w:val="bottom"/>
            <w:gridSpan w:val="4"/>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(5,894)</w:t>
            </w: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(414)</w:t>
            </w: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7"/>
        </w:trPr>
        <w:tc>
          <w:tcPr>
            <w:tcW w:w="394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592,841</w:t>
            </w: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126,354</w:t>
            </w:r>
          </w:p>
        </w:tc>
        <w:tc>
          <w:tcPr>
            <w:tcW w:w="1300" w:type="dxa"/>
            <w:vAlign w:val="bottom"/>
            <w:gridSpan w:val="5"/>
            <w:shd w:val="clear" w:color="auto" w:fill="CCEEFF"/>
          </w:tcPr>
          <w:p>
            <w:pPr>
              <w:jc w:val="right"/>
              <w:ind w:right="81"/>
              <w:spacing w:after="0" w:line="283" w:lineRule="exact"/>
              <w:rPr>
                <w:sz w:val="20"/>
                <w:szCs w:val="20"/>
                <w:color w:val="auto"/>
              </w:rPr>
            </w:pPr>
            <w:r>
              <w:rPr>
                <w:rFonts w:ascii="Times New Roman" w:cs="Times New Roman" w:eastAsia="Times New Roman" w:hAnsi="Times New Roman"/>
                <w:sz w:val="17"/>
                <w:szCs w:val="17"/>
                <w:color w:val="auto"/>
              </w:rPr>
              <w:t>(121,985</w:t>
            </w:r>
            <w:r>
              <w:rPr>
                <w:rFonts w:ascii="Times New Roman" w:cs="Times New Roman" w:eastAsia="Times New Roman" w:hAnsi="Times New Roman"/>
                <w:sz w:val="32"/>
                <w:szCs w:val="32"/>
                <w:color w:val="auto"/>
                <w:vertAlign w:val="superscript"/>
              </w:rPr>
              <w:t>)</w:t>
            </w:r>
          </w:p>
        </w:tc>
        <w:tc>
          <w:tcPr>
            <w:tcW w:w="1220" w:type="dxa"/>
            <w:vAlign w:val="bottom"/>
            <w:gridSpan w:val="4"/>
            <w:shd w:val="clear" w:color="auto" w:fill="CCEEFF"/>
          </w:tcPr>
          <w:p>
            <w:pPr>
              <w:jc w:val="right"/>
              <w:ind w:right="81"/>
              <w:spacing w:after="0" w:line="283" w:lineRule="exact"/>
              <w:rPr>
                <w:sz w:val="20"/>
                <w:szCs w:val="20"/>
                <w:color w:val="auto"/>
              </w:rPr>
            </w:pPr>
            <w:r>
              <w:rPr>
                <w:rFonts w:ascii="Times New Roman" w:cs="Times New Roman" w:eastAsia="Times New Roman" w:hAnsi="Times New Roman"/>
                <w:sz w:val="17"/>
                <w:szCs w:val="17"/>
                <w:color w:val="auto"/>
              </w:rPr>
              <w:t>(3,407</w:t>
            </w:r>
            <w:r>
              <w:rPr>
                <w:rFonts w:ascii="Times New Roman" w:cs="Times New Roman" w:eastAsia="Times New Roman" w:hAnsi="Times New Roman"/>
                <w:sz w:val="32"/>
                <w:szCs w:val="32"/>
                <w:color w:val="auto"/>
                <w:vertAlign w:val="superscript"/>
              </w:rPr>
              <w:t>)</w:t>
            </w: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940" w:type="dxa"/>
            <w:vAlign w:val="bottom"/>
            <w:vMerge w:val="continue"/>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conversion</w:t>
            </w:r>
          </w:p>
        </w:tc>
        <w:tc>
          <w:tcPr>
            <w:tcW w:w="12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00" w:type="dxa"/>
            <w:vAlign w:val="bottom"/>
            <w:gridSpan w:val="5"/>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w:t>
            </w:r>
          </w:p>
        </w:tc>
        <w:tc>
          <w:tcPr>
            <w:tcW w:w="1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323,246</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10,726</w:t>
            </w:r>
          </w:p>
        </w:tc>
        <w:tc>
          <w:tcPr>
            <w:tcW w:w="130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10,726</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12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(747)</w:t>
            </w:r>
          </w:p>
        </w:tc>
        <w:tc>
          <w:tcPr>
            <w:tcW w:w="1300" w:type="dxa"/>
            <w:vAlign w:val="bottom"/>
            <w:gridSpan w:val="5"/>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5"/>
          </w:tcPr>
          <w:p>
            <w:pPr>
              <w:jc w:val="right"/>
              <w:ind w:right="81"/>
              <w:spacing w:after="0"/>
              <w:rPr>
                <w:sz w:val="20"/>
                <w:szCs w:val="20"/>
                <w:color w:val="auto"/>
              </w:rPr>
            </w:pPr>
            <w:r>
              <w:rPr>
                <w:rFonts w:ascii="Times New Roman" w:cs="Times New Roman" w:eastAsia="Times New Roman" w:hAnsi="Times New Roman"/>
                <w:sz w:val="18"/>
                <w:szCs w:val="18"/>
                <w:color w:val="auto"/>
              </w:rPr>
              <w:t>(3,968)</w:t>
            </w:r>
          </w:p>
        </w:tc>
        <w:tc>
          <w:tcPr>
            <w:tcW w:w="122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(3,968)</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5"/>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w:t>
            </w: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vMerge w:val="continue"/>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918,225</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136,849</w:t>
            </w:r>
          </w:p>
        </w:tc>
        <w:tc>
          <w:tcPr>
            <w:tcW w:w="80" w:type="dxa"/>
            <w:vAlign w:val="bottom"/>
            <w:vMerge w:val="continue"/>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(125,953</w:t>
            </w:r>
          </w:p>
        </w:tc>
        <w:tc>
          <w:tcPr>
            <w:tcW w:w="220" w:type="dxa"/>
            <w:vAlign w:val="bottom"/>
            <w:vMerge w:val="continue"/>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220" w:type="dxa"/>
            <w:vAlign w:val="bottom"/>
            <w:vMerge w:val="continue"/>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055"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INCANNEX HEALTHCARE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(expressed in U.S. Dollars, unless otherwise stated)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(16,811)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on foreign currency remeasurement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expense of ELOC commitment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1,097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6,374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1,311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rights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994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R&amp;D tax incentive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2,222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pledged</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and other payables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(4,894)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592</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(16,241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(11,031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of joint venture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received from facility agreement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4,282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facility agreement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share issuance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78,617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12,446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issuance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issuance costs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2,779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convertible debt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repurchase</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(2,317)</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72,814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2,901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56,509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755</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15,039</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5,858</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ELOC warrants at initial fair value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convertible note warrants at initial fair value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rights at initial fair value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A warrants at initial fair value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2,843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Partial conversion of convertible note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Warrants at initial fair value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Pre-Funded Warrants at initial fair value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INCANNEX HEALTHCARE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(expressed in U.S. Dollars,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Incannex Healthcare Inc. (the “Company”) is a corporation formed under the laws of Delaware in July 2023. Incannex Healthcare Inc. and its subsidiaries are referred to as “the Company” unless the text otherwise requires.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fiscal year end is June 30. References to a particular “fiscal year” are to the Company’s fiscal year ended June 30 of that calendar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207"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the Company are presented in United States dollars and consist of Incannex Healthcare Inc. and the following wholly-owned subsidiaries: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r>
      <w:tr>
        <w:trPr>
          <w:trHeight w:val="216"/>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Incannex Healthcare Limited</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Victoria, Australia</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Incannex Pty Ltd</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Victoria, Australia</w:t>
            </w: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Psychennex Pty Ltd</w:t>
            </w: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Victoria, Australia</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APIRx Pharmaceutical USA, LLC</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Delaware, United States of America</w:t>
            </w: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APIRx Pharmaceuticals Holding BV</w:t>
            </w: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IJsselstein, Netherlands</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Clarion Clinics Group Pty Ltd</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Victoria, Australia</w:t>
            </w: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Clarion Model Clinic Pty Ltd</w:t>
            </w: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Victoria, Australia</w:t>
            </w: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Psychennex Licensing and Franchising Pty Ltd</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Victoria, Australia</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As discussed below under the heading “</w:t>
      </w:r>
      <w:r>
        <w:rPr>
          <w:rFonts w:ascii="Times New Roman" w:cs="Times New Roman" w:eastAsia="Times New Roman" w:hAnsi="Times New Roman"/>
          <w:sz w:val="18"/>
          <w:szCs w:val="18"/>
          <w:i w:val="1"/>
          <w:iCs w:val="1"/>
          <w:color w:val="auto"/>
        </w:rPr>
        <w:t>Note 2—Significant Accounting Policies—Reverse Stock Split</w:t>
      </w:r>
      <w:r>
        <w:rPr>
          <w:rFonts w:ascii="Times New Roman" w:cs="Times New Roman" w:eastAsia="Times New Roman" w:hAnsi="Times New Roman"/>
          <w:sz w:val="18"/>
          <w:szCs w:val="18"/>
          <w:color w:val="auto"/>
        </w:rPr>
        <w:t>,” on February 26, 2026, the Company effected a 1-for-30 reverse stock split (the “Reverse Stock Split”) of its issued and outstanding shares of common stock, par value $0.0001 per share (the “Common Stock”). As a result of the Reverse Stock Split, all figures in this Quarterly Report on Form 10-Q relating to shares of Common Stock (such as share amounts, per share amounts, and conversion rates and prices), including but not limited to, the consolidated financial statements and footnotes included herein, have been adjusted to reflect the Reverse Stock Split for all periods presented, except as otherwise noted or required by context.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contained in this Quarterly Report on Form 10-Q have been prepared in accordance with accounting principles generally accepted in the United States (“US GAAP”) and pursuant to the rules and regulations of the SEC.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 is frequently made herein to the Financial Accounting Standards Board (the “FASB”) Accounting Standards Codification (“ASC”).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the source of authoritative US GAAP recognized by the FASB to be applied to non-governmental entities.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29"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In the opinion of the Company, the accompanying unaudited condensed consolidated financial statements contain all adjustments, consisting of only normal recurring adjustments, necessary for a fair statement of its financial position as of March 31, 2026, and its results of operations for the three and nine months ended March 31, 2026, and 2025, and cash flows for the nine months ended March 31, 2026, and 2025. The Company has condensed or omitted certain information and note disclosures normally included in financial statements prepared in accordance with U.S. GAAP pursuant to the applicable required disclosures and regulations of the SEC. As such, these unaudited condensed consolidated financial statements should be read in conjunction with the Company’s audited financial statements and accompanying notes included in the Company’s Annual Report on Form 10-K for the fiscal year ended June 30, 2025, as filed with the SEC on September 29, 2025 (the “2025 Annual Report”).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Basis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financial report has been prepared on the going concern basis, which assumes continuity of normal business activities and the realization of assets and the settlement of liabilities in the ordinary course of business.</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has incurred total comprehensive losses of $17.3 million and $15.4 million for the nine months ended March 31, 2026 and 2025, respectively, and experienced net cash outflows from operating activities of $16.2 million and $11.0 million for the nine months ended March 31, 2026 and 2025, respectively.</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and June 30, 2025, the Company had cash and cash equivalents of $74.5 million and $15.0 million, respectively, and current assets exceeded its current liabilities by $78.2 million and $13.0 million, respectively.</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Historically, the Company has financed its operations to date primarily through partnerships, funds received from public offerings of its Common Stock, a debt financing facility, as well as funding from governmental bodies. The Company continues to plan for additional capital through the sale of Common Stock in public offerings and/or private placements, debt financings, or through other capital sources, including pursuant to collaborations with other companies or other strategic transactions.</w:t>
      </w:r>
    </w:p>
    <w:p>
      <w:pPr>
        <w:spacing w:after="0" w:line="180"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Based on the Company’s unrestricted cash and cash equivalents as of March 31, 2026, the Company anticipates that it will be able to fund its planned operating expenses and capital expenditure requirements for at least twelve months from the date of these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wholly-owned subsidiaries. Details of all controlled entities are set out in Note 1. All intercompany balances and transactions have been eliminated 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w:t>
      </w:r>
    </w:p>
    <w:p>
      <w:pPr>
        <w:spacing w:after="0" w:line="229" w:lineRule="exact"/>
        <w:rPr>
          <w:sz w:val="20"/>
          <w:szCs w:val="20"/>
          <w:color w:val="auto"/>
        </w:rPr>
      </w:pPr>
    </w:p>
    <w:p>
      <w:pPr>
        <w:ind w:right="40" w:firstLine="648"/>
        <w:spacing w:after="0" w:line="274" w:lineRule="auto"/>
        <w:rPr>
          <w:sz w:val="20"/>
          <w:szCs w:val="20"/>
          <w:color w:val="auto"/>
        </w:rPr>
      </w:pPr>
      <w:r>
        <w:rPr>
          <w:rFonts w:ascii="Times New Roman" w:cs="Times New Roman" w:eastAsia="Times New Roman" w:hAnsi="Times New Roman"/>
          <w:sz w:val="17"/>
          <w:szCs w:val="17"/>
          <w:color w:val="auto"/>
        </w:rPr>
        <w:t>The Company has a joint venture with Mind Medicine Australia (“MMA”) to operate a psychedelic-assisted therapies services clinic in Melbourne, Australia. The Company owns 50% of MMA and does not have control over the joint venture. 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equity method investments are required to be reviewed for impairment when it is determined there may be an other than-temporary loss in value.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carrying value of equity method investments were $27,000 as of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Comparative information</w:t>
      </w:r>
    </w:p>
    <w:p>
      <w:pPr>
        <w:spacing w:after="0" w:line="229" w:lineRule="exact"/>
        <w:rPr>
          <w:sz w:val="20"/>
          <w:szCs w:val="20"/>
          <w:color w:val="auto"/>
        </w:rPr>
      </w:pPr>
    </w:p>
    <w:p>
      <w:pPr>
        <w:ind w:right="940" w:firstLine="648"/>
        <w:spacing w:after="0" w:line="282" w:lineRule="auto"/>
        <w:rPr>
          <w:sz w:val="20"/>
          <w:szCs w:val="20"/>
          <w:color w:val="auto"/>
        </w:rPr>
      </w:pPr>
      <w:r>
        <w:rPr>
          <w:rFonts w:ascii="Times New Roman" w:cs="Times New Roman" w:eastAsia="Times New Roman" w:hAnsi="Times New Roman"/>
          <w:sz w:val="18"/>
          <w:szCs w:val="18"/>
          <w:color w:val="auto"/>
        </w:rPr>
        <w:t>Comparative information has been reclassified where appropriate to conform to changes in presentation in the current year to enhance comparability.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impact the reported amounts of assets, liabilities and expenses and the disclosure of contingent assets and liabilities in the Company’s unaudited condensed consolidated financial statements and accompanying notes.</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most significant estimates and assumptions in the Company’s unaudited condensed consolidated financial statements include the valuation of equity-based instruments issued, accrued research and development expense, and the research and development tax credit. Estimates are periodically reviewed in light of changes in circumstances, facts and experience. Changes in estimates are recorded in the period in which they become known. Actual results could differ materially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companies in the biopharmaceutical industry. The Company believes that changes in any of the following areas could have a material adverse effect on future financial position or results of operations: ability to obtain future financing; regulatory approval and market acceptance of, and reimbursement for, drug candidates; performance of third-party clinical research organizations and manufacturers upon which the Company relies; protection of the Company’s intellectual property; litigation or claims against the Company based on intellectual property, patent, product, regulatory or other factors; and the Company’s ability to attract and retain employees.</w:t>
      </w:r>
    </w:p>
    <w:p>
      <w:pPr>
        <w:spacing w:after="0" w:line="18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technological change and substantial competition from other pharmaceutical and biotechnology companies. In addition, the Company is dependent upon the services of its employees, consultants and other third parties.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following is provided to update the Company’s significant accounting policies disclosed in Note 2 to the Consolidated Financial Statements described in the 2025 Annual Report that have had a material impact on the Company’s unaudited condensed consolidated financial statements and related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Direct Offering</w:t>
      </w:r>
    </w:p>
    <w:p>
      <w:pPr>
        <w:spacing w:after="0" w:line="22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On March 12, 2026, the Company entered into a Securities Purchase Agreement with certain institutional investors, to which the Company agreed to issue and sell, in a registered direct offering (the “March 2026 Offering”), an aggregate of:</w:t>
      </w:r>
    </w:p>
    <w:p>
      <w:pPr>
        <w:spacing w:after="0" w:line="162"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1,997,285 shares of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(the “March 2026 Pre-Funded Warrants”) to purchase up to 2,715 shares of Common Stock;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warrants (the “March 2026 Common Warrants”) to purchase up to 2,000,000 shares of Common Stock.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were sold at a combined purchase price of $5.00 per share and accompanying March 26 Common Warrant, or $4.9999 per March 2026 Pre-Funded Warrant and accompanying March 2026 Common Warrant. The March 2026 Common Warrants are exercisable for a period of five years from issuance at an exercise price of $6.50 per share. The March 2026 Pre-Funded Warrants are exercisable immediately upon issuance at an exercise price of $0.0001 per share.</w:t>
      </w:r>
    </w:p>
    <w:p>
      <w:pPr>
        <w:spacing w:after="0" w:line="18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aggregate gross proceeds from the March 26 Offering were approximately $10.0 million before deducting placement agent fees and other offering expenses.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March 26 Offering, the Company engaged Curvature Securities, LLC as sole placement agent.</w:t>
      </w:r>
    </w:p>
    <w:p>
      <w:pPr>
        <w:spacing w:after="0" w:line="22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March 2026 Pre-Funded Warrants were accounted for and were classified as additional paid-in capital as part of the Company’s equity. Total incremental and direct issuance costs were deducted from additional paid-in-capital as they were allocated to shares of Common Stock and March 2026 Pre-Funded Warrants.</w:t>
      </w:r>
    </w:p>
    <w:p>
      <w:pPr>
        <w:spacing w:after="0" w:line="176"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March 2026 Common Warrants were classified as liabilities and accounted for at fair value and re-measured at each reporting date until exercise, expiration or modification that resulted in equity classification. Any change in the fair value of the March 2026 Common Warrants was recognized in the Consolidated Statements of Operations and Comprehensive Loss.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issuance of Common Stock is recognized on its settlement date. Upon issuance, the Common Stock is recorded at its fair value.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February 26, 2026, the Company effected the Reverse Stock Split of its issued and outstanding shares of Common Stock. As a result of the Reverse Stock Split, every thirty (30) shares of issued and outstanding Common Stock were automatically converted into one (1) share of Common Stock, without any change in the par value per share. Any fractional shares of common stock from the Reverse Stock Split were rounded up to the next whole share.</w:t>
      </w:r>
    </w:p>
    <w:p>
      <w:pPr>
        <w:spacing w:after="0" w:line="180"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Proportionate adjustments were made to the number of shares issuable and the per share exercise prices of all outstanding equity awards, as well as to the shares issued and issuable under the Company’s equity incentive plans. The Reverse Stock Split did not affect the number of shares of common stock authorized.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figures in this Quarterly Report on Form 10-Q relating to shares of Common Stock (such as share amounts, per share amounts, and conversion rates and prices), including but not limited to, the consolidated financial statements and footnotes included herein, have been adjusted to reflect the Reverse Stock Split for all periods presented, except as otherwise noted or required by context.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Equity-Line of Credit Purchase Agreement</w:t>
      </w:r>
    </w:p>
    <w:p>
      <w:pPr>
        <w:spacing w:after="0" w:line="22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On September 6, 2024, the Company entered into an equity line of credit Purchase Agreement (the “ELOC Purchase Agreement”) with Arena Business Solutions Global SPC II, Ltd (“Arena Global”). Under the ELOC Purchase Agreement, Arena Global had committed to purchase up to $50 million of Common Stock, at the Company’s direction from time to time, subject to the satisfaction of the conditions in the ELOC Purchase Agreement.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29" w:lineRule="exact"/>
        <w:rPr>
          <w:sz w:val="20"/>
          <w:szCs w:val="20"/>
          <w:color w:val="auto"/>
        </w:rPr>
      </w:pPr>
    </w:p>
    <w:p>
      <w:pPr>
        <w:ind w:right="100" w:firstLine="648"/>
        <w:spacing w:after="0" w:line="274" w:lineRule="auto"/>
        <w:rPr>
          <w:sz w:val="20"/>
          <w:szCs w:val="20"/>
          <w:color w:val="auto"/>
        </w:rPr>
      </w:pPr>
      <w:r>
        <w:rPr>
          <w:rFonts w:ascii="Times New Roman" w:cs="Times New Roman" w:eastAsia="Times New Roman" w:hAnsi="Times New Roman"/>
          <w:sz w:val="17"/>
          <w:szCs w:val="17"/>
          <w:color w:val="auto"/>
        </w:rPr>
        <w:t>The purchase price per share of Common Stock was obtained by multiplying by 96% the daily volume weighted average price (“VWAP”) on The Nasdaq Global Market (“Nasdaq”) for the trading day specified in the sale notice (same trading day or one trading day following such notice) delivered to Arena Global. The ELOC Purchase Agreement would have terminated automatically upon the earliest to occur of (i) the first day of the month next following the 36-month anniversary of the date of the ELOC Purchase Agreement; or (ii) the date on which Arena Global would have purchased shares of Common Stock under the ELOC Purchase Agreement for an aggregate gross purchase price equal to the Commitment Amount (as defined in the ELOC Purchase Agreement). The Company had also agreed to pay a financial advisor up to 7% of the gross proceeds raised under the ELOC Agreement.</w:t>
      </w:r>
    </w:p>
    <w:p>
      <w:pPr>
        <w:spacing w:after="0" w:line="17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December 9, 2024, in connection with the ELOC Purchase Agreement, the Company issued 4,747 shares of Common Stock as a commitment fee to Arena Global. On January 16, 2025, the Company issued 345 true-up shares of Common Stock to Arena Global. The Company evaluated that the costs incurred in connection with the commitment fee and the true-up shares did not meet the definition of an asset and, therefore, were expensed as incurred.</w:t>
      </w:r>
    </w:p>
    <w:p>
      <w:pPr>
        <w:spacing w:after="0" w:line="1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additional consideration for Arena Global’s execution and delivery of the ELOC Purchase Agreement, the Company issued a five-year warrant (the “ELOC Warrant”) on October 31, 2024, exercisable for 19,500 shares of Common Stock with an exercise price equal to $49.50 per share.</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determines whether to classify contracts, such as warrants, that may be settled in the Company’s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in the Consolidated Statements of Operations and Comprehensive Loss.</w:t>
      </w:r>
    </w:p>
    <w:p>
      <w:pPr>
        <w:spacing w:after="0" w:line="18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Classification of the ELOC Warrants as liability instruments was based on management’s analysis of the guidance in ASC 815 and in a statement issued by the Staff of the SEC regarding the accounting and reporting considerations for warrants issued entitled “Staff Statement on Accounting and Reporting Considerations for Warrants Issued by Special Purpose Acquisition Companies”.</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Management considered whether the ELOC Warrant displayed the three characteristics of a derivative under ASC 815 and concluded that the ELOC Warrant meets the definition of a derivative. However, the ELOC Warrant failed to meet the equity scope exception in ASC 815-10-15-74(a) and thus is classified as a liability measured at fair value, subject to remeasurement at each reporting period. This conclusion is based on the fact that the ELOC Warrant includes certain cash-settlement features in the event of a tender offer, which is outside the control of the Company, and that the exercise price is denominated in a currency other than the reporting entity’s functional currency. As a result, the instrument is not considered to be indexed to the reporting entity’s own stock. The Company measured the ELOC Warrant as a liability at fair value as at each reporting period with changes in fair value recognized as other (income) expense, net in the consolidated statements of operations and comprehensive income (loss).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ELOC Purchase Agreement was terminated on March 13,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Debenture Financing</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September 6, 2024, the Company entered into a Securities Purchase Agreement (the “September 2024 Purchase Agreement”) with Arena Investors, LP (“Arena Investors”), which provided for the issuance of secured convertible debentures in an aggregate principal amount of up to $10 million at an aggregate purchase price of up to $9 million (a 10% original issue discount), divided into three separate tranches, each subject to closing conditions. Under the September 2024 Purchase Agreement, the conversion price of each secured convertible debenture equaled 115% of the closing price of the Common Stock on the trading day preceding the date of the issuance of the respective secured convertible debenture, subject to subsequent adjustments and alternative conversion prices based on the then-current trading price of the Common Stock on Nasdaq, as further detailed in the September 2024 Purchase Agreement. For each secured convertible debenture purchased under the September 2024 Purchase Agreement, the Company would have issued a warrant to the purchaser, exercisable to purchase up to the number of shares of Common Stock equal to 25% of the total principal amount of the related secured convertible debenture, divided by 115% of the closing price of the Company’s Common Stock on the trading day immediately preceding the applicable closing date. The Company was not obligated to issue warrants for any tranche that did not close. The exercise price of each warrant would have been 115% of the closing price of the Common Stock on the issuance date, and the warrants were to have a five-year term.</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Company completed the closing of the first tranche under the September 2024 Purchase Agreement for the issuance of a 10% original issue discount secured convertible debenture (the “First Tranche Debenture”) in the principal amount of $3.3 million at an aggregate purchase price of $3.0 million (a 10% original issue discount) to Arena Special Opportunities (Offshore) Master II LP (“Arena Opportunities”). The First Tranche Debenture provided for a payment-in-kind interest rate at 5.0% and would have matured on April 14, 2026. In addition, the Company issued a warrant to Arena Investors exercisable for up to 15,125 shares of Common Stock (the “First Tranche Warrant”), at an exercise price of $56.7 per share.</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net proceeds received from the issuance of the First Tranche Debenture, after deduction of expenses reimbursable to the Arena Investors, was $2.9 million.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meet the closing conditions for the second and third tranche closings set forth in the September 2024 Purchase Agreement.</w:t>
      </w:r>
    </w:p>
    <w:p>
      <w:pPr>
        <w:spacing w:after="0" w:line="22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November 6, 2024, and as required by the Company’s agreements in connection with the First Tranche Debenture, the Company filed a resale Registration Statement on Form S-1/A with the SEC, registering for resale up to 2,046,325 shares of Common Stock, including up to 336,700 shares of Common Stock issuable upon conversion of the First Tranche Debenture and up to 15,125 shares of Common Stock issuable upon the exercise of the First Tranche Warrant. This registration statement was declared effective on December 6, 2024.</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evaluates its convertible instruments and warrants to determine if those contracts or embedded components of those contracts qualify as derivatives to be separately accounted for under ASC 815, Derivatives and Hedging. The classification of derivative instruments, including whether such instruments should be recorded as assets, liabilities, or equity, is reassessed at the end of each reporting period. For equity-linked financial instruments, the Company must determine whether the underlying instrument is indexed to its own Common Stock in order to classify the derivative instrument as equity. Otherwise, the derivative asset or liability, including embedded derivatives, is recognized at fair value with subsequent changes in fair value recognized in the consolidated statements of operations and comprehensive income (loss).</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For hybrid instruments, ASC 815-15 requires bifurcation of embedded features if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otherwise applicable generally accepted accounting principles with changes in fair value reported in earnings as they occur and (c) a separate instrument with the same terms as the embedded derivative instrument would be considered a derivative instrument. The nature of the host instrument is therefore evaluated to determine if it is more akin to a debt-like or equity-like host. In this assessment, the Company considers the stated and implied substantive features of the contract as well as the economic characteristics and risks of the hybrid instrument. Each term and feature are then weighed based on the relevant facts and circumstances to determine the nature of the host contract.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5, 2025, Arena Investors converted a total of $100,000 debt into shares of Common Stock.</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March 13, 2025 the Company repaid in full the outstanding First Tranche Debenture, previously issued pursuant to the September 2024 Purchase Agreement, by making a cash payment of $3.9 million, representing the outstanding principal, interest, amounts and redemption premiums due as of February 28, 2025. In connection with the repayment of the First Tranche Debenture, the September 2024 Purchase Agreement, the related security documents and that certain ELOC Purchase Agreement were terminated except with respect to the indemnification and registration rights set forth therein. The (i) First Tranche Warrant, (ii) Registration Rights Agreement, dated as of October 14, 2025, by and between the Company and Arena Investors and (iii) ELOC Warrant remained in effect. The First Tranche Warrant and ELOC Warrant have since been exercised in full.</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accounted for the First Tranche Debenture as a financing transaction, wherein the net proceeds that were received were allocated to the financial instruments issued. Prior to making the accounting allocation, the Company evaluated the First Tranche Debenture under ASC 815 Derivatives and Hedging (“ASC 815”). ASC 815 generally requires the analysis of embedded terms and features that have characteristics of derivatives to be evaluated for bifurcation and separate accounting in instances where their economic risks and characteristics are not clearly and closely related to the risks of the host contract.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evaluated that the conversion right meets the definition of a derivative under ASC 815-10-15-83. Further the Company evaluated that the conversion right requires bifurcation from the debt host on the basis that it fails to meet the equity scope exception in ASC 815-10-15-74(a) and thus are classified as a liability measured at fair value, subject to remeasurement at each reporting period.</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evaluated that the First Tranche Warrant was a detachable freestanding instrument. The First Tranche Warrant included certain cash- settlement features in the event of a tender offer, which is outside the control of the Company, and that the exercise price was denominated in a currency (USD) other than the reporting entity’s functional currency (AUD), and thus failed to meet the equity scope exception in ASC 815-10-15-74(a). Therefore the instrument was not considered indexed to the reporting entity’s own stock. As such the First Tranche Warrants are classified as a liability and measured at fair value, with changes in fair value each period reported in earnings.</w:t>
      </w:r>
    </w:p>
    <w:p>
      <w:pPr>
        <w:spacing w:after="0" w:line="183"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proceeds from issuing the First Tranche Debenture were allocated first to the First Tranche Warrant based on its fair value. The proceeds allocated to the debt instrument was then further allocated between the debt host contract and the bifurcated derivative based on the fair value of that derivative as prescribed by ASC 815-15-30-2.</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Debt discount and the debt issuance costs were capitalized to the carrying amount of the debt. Such costs are presented on the balance sheet as a direct deduction from that debt liability host.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ASC 820, Fair Value Measurement and Disclosures (“ASC 820”),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fair-value hierarchy: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Quoted prices for identical instruments in active markets;</w:t>
      </w:r>
    </w:p>
    <w:p>
      <w:pPr>
        <w:spacing w:after="0" w:line="225"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Level 2: 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Valuations derived from valuation techniques in which one or more significant inputs or significant value drivers are unobservable.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Prepaid expenses and other current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0"/>
        </w:trPr>
        <w:tc>
          <w:tcPr>
            <w:tcW w:w="868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6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19"/>
                <w:szCs w:val="19"/>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Prepayments</w:t>
            </w:r>
            <w:r>
              <w:rPr>
                <w:rFonts w:ascii="Times New Roman" w:cs="Times New Roman" w:eastAsia="Times New Roman" w:hAnsi="Times New Roman"/>
                <w:sz w:val="28"/>
                <w:szCs w:val="28"/>
                <w:color w:val="auto"/>
                <w:vertAlign w:val="superscript"/>
              </w:rPr>
              <w:t>1</w:t>
            </w:r>
          </w:p>
        </w:tc>
        <w:tc>
          <w:tcPr>
            <w:tcW w:w="13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184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GST recoverable</w:t>
            </w:r>
          </w:p>
        </w:tc>
        <w:tc>
          <w:tcPr>
            <w:tcW w:w="1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221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405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440" w:hanging="332"/>
        <w:spacing w:after="0" w:line="195"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Prepayments consist of prepaid clinical trial insurances, prepaid R&amp;D expenditure relating to PSX-001 and IHL-42X clinical trials and scientific, marketing, and advertising subscription services.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R&amp;D tax incentive receivable</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29"/>
        </w:trPr>
        <w:tc>
          <w:tcPr>
            <w:tcW w:w="8680" w:type="dxa"/>
            <w:vAlign w:val="bottom"/>
          </w:tcPr>
          <w:p>
            <w:pPr>
              <w:spacing w:after="0"/>
              <w:rPr>
                <w:sz w:val="19"/>
                <w:szCs w:val="19"/>
                <w:color w:val="auto"/>
              </w:rPr>
            </w:pPr>
          </w:p>
        </w:tc>
        <w:tc>
          <w:tcPr>
            <w:tcW w:w="13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45"/>
        </w:trPr>
        <w:tc>
          <w:tcPr>
            <w:tcW w:w="8680" w:type="dxa"/>
            <w:vAlign w:val="bottom"/>
          </w:tcPr>
          <w:p>
            <w:pPr>
              <w:spacing w:after="0"/>
              <w:rPr>
                <w:sz w:val="21"/>
                <w:szCs w:val="21"/>
                <w:color w:val="auto"/>
              </w:rPr>
            </w:pPr>
          </w:p>
        </w:tc>
        <w:tc>
          <w:tcPr>
            <w:tcW w:w="13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60" w:type="dxa"/>
            <w:vAlign w:val="bottom"/>
            <w:tcBorders>
              <w:bottom w:val="single" w:sz="8" w:color="auto"/>
            </w:tcBorders>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tax incentive receivable</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5,240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R&amp;D tax incentive is recorded within the unaudited condensed consolidated statements of operations and comprehensive loss and amounted to $1.0 million and $2.2 million for the nine months ended March 31, 2026 and 2025,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 net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0"/>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gridSpan w:val="2"/>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fittings and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572</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property, plant and equipment,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is recorded within general and administrative in the unaudited condensed consolidated statements of operations and comprehensive loss and amounted to $0.2 million and $0.2 million for the nine months ended March 31, 2026 and 2025,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 Trade and other payables, accrued expenses and other current liabilities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30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0"/>
        </w:trPr>
        <w:tc>
          <w:tcPr>
            <w:tcW w:w="130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5"/>
        </w:trPr>
        <w:tc>
          <w:tcPr>
            <w:tcW w:w="13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130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246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gridSpan w:val="2"/>
          </w:tcPr>
          <w:p>
            <w:pPr>
              <w:spacing w:after="0"/>
              <w:rPr>
                <w:sz w:val="19"/>
                <w:szCs w:val="19"/>
                <w:color w:val="auto"/>
              </w:rPr>
            </w:pPr>
          </w:p>
        </w:tc>
      </w:tr>
      <w:tr>
        <w:trPr>
          <w:trHeight w:val="203"/>
        </w:trPr>
        <w:tc>
          <w:tcPr>
            <w:tcW w:w="86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Current liabilities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300" w:type="dxa"/>
            <w:vAlign w:val="bottom"/>
            <w:tcBorders>
              <w:top w:val="single" w:sz="8" w:color="auto"/>
            </w:tcBorders>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6,074</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trade and other payables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661</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leave entitlements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10"/>
        </w:trPr>
        <w:tc>
          <w:tcPr>
            <w:tcW w:w="86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trade and other payables, accrued expenses and other current liabilities</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1,855</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Trade and other payables are unsecured, non-interest bearing and are normally settled within 30 days. The carrying amounts are a reasonable approximation of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During fiscal year 2023, the Company entered into three lease agreements for its corporate head office in Sydney, Melbourne office and Clarion Clinic site. The leases have four, five and three-year terms respectively. These leases require monthly lease payments that may be subject to annual increases throughout the lease term. Certain of these leases also include renewal options at the election of the Company to renew or extend the lease for an additional three to five years. These optional periods have not been considered in the determination of the right-of-use assets or lease liabilities associated with these leases as the Company did not consider it reasonably certain it would exercise the options.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remaining lease term and discount rates for the Company’s operating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6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term (years)</w:t>
            </w: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5"/>
              </w:rPr>
              <w:t>0.57</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5"/>
              </w:rPr>
              <w:t>1.32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38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9.18%</w:t>
            </w:r>
          </w:p>
        </w:tc>
        <w:tc>
          <w:tcPr>
            <w:tcW w:w="126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9.18%</w:t>
            </w:r>
          </w:p>
        </w:tc>
      </w:tr>
      <w:tr>
        <w:trPr>
          <w:trHeight w:val="432"/>
        </w:trPr>
        <w:tc>
          <w:tcPr>
            <w:tcW w:w="8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lease costs pertaining to the Company’s operating leases:</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0"/>
        </w:trPr>
        <w:tc>
          <w:tcPr>
            <w:tcW w:w="8600" w:type="dxa"/>
            <w:vAlign w:val="bottom"/>
          </w:tcPr>
          <w:p>
            <w:pPr>
              <w:spacing w:after="0"/>
              <w:rPr>
                <w:sz w:val="19"/>
                <w:szCs w:val="19"/>
                <w:color w:val="auto"/>
              </w:rPr>
            </w:pPr>
          </w:p>
        </w:tc>
        <w:tc>
          <w:tcPr>
            <w:tcW w:w="11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19"/>
                <w:szCs w:val="19"/>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8600" w:type="dxa"/>
            <w:vAlign w:val="bottom"/>
          </w:tcPr>
          <w:p>
            <w:pPr>
              <w:spacing w:after="0"/>
              <w:rPr>
                <w:sz w:val="21"/>
                <w:szCs w:val="21"/>
                <w:color w:val="auto"/>
              </w:rPr>
            </w:pPr>
          </w:p>
        </w:tc>
        <w:tc>
          <w:tcPr>
            <w:tcW w:w="11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1"/>
                <w:szCs w:val="21"/>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60" w:type="dxa"/>
            <w:vAlign w:val="bottom"/>
            <w:tcBorders>
              <w:top w:val="single" w:sz="8" w:color="auto"/>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19"/>
                <w:szCs w:val="19"/>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during the nine months ended March 31, 2026 and fiscal year June 30, 2025 was $0.2 million and $0.2 million respectively, and was included within net cash used in operating activities in the cash flows.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7 – Leases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future minimum lease payments due under operating leases as of March 31, 2026,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18"/>
                <w:szCs w:val="18"/>
                <w:color w:val="auto"/>
              </w:rPr>
            </w:pP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2026</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the Company’s operating lease has a weighted-average remaining lease term of 0.57 years and a discount rate of 9.18%.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a loss contingency when it is probable that a liability has been incurred and the amount of the loss can be reasonably estimated. The Company also discloses material contingencies when it believes a loss is not probable but reasonably possible. Accounting for contingencies requires the Company to use judgment related to both the likelihood of a loss and the estimate of the amount or range of loss. Although the Company cannot predict with assurance the outcome of any litigation or tax matters, it does not believe there are currently any such actions that, if resolved unfavorably, would have a material impact on the Company’s operating results, financial position or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Stockholders’ equity/issued capital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has one class of Common Stock. The Company’s amended and restated certificate of incorporation provides for 800,000,000 authorized shares of Common Stock. Each outstanding share of Common Stock has one vote per share. Holders of Common Stock are entitled to receive any dividends as may be declared from time-to-time by the Company’s board of directors.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 Stock-based payments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25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r>
      <w:tr>
        <w:trPr>
          <w:trHeight w:val="245"/>
        </w:trPr>
        <w:tc>
          <w:tcPr>
            <w:tcW w:w="868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7"/>
        </w:trPr>
        <w:tc>
          <w:tcPr>
            <w:tcW w:w="8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6,373</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stock-based compensation expense</w:t>
            </w:r>
          </w:p>
        </w:tc>
        <w:tc>
          <w:tcPr>
            <w:tcW w:w="1120" w:type="dxa"/>
            <w:vAlign w:val="bottom"/>
            <w:tcBorders>
              <w:top w:val="single" w:sz="8" w:color="auto"/>
              <w:bottom w:val="single" w:sz="8" w:color="auto"/>
            </w:tcBorders>
          </w:tcPr>
          <w:p>
            <w:pPr>
              <w:ind w:left="720"/>
              <w:spacing w:after="0" w:line="203" w:lineRule="exact"/>
              <w:rPr>
                <w:sz w:val="20"/>
                <w:szCs w:val="20"/>
                <w:color w:val="auto"/>
              </w:rPr>
            </w:pPr>
            <w:r>
              <w:rPr>
                <w:rFonts w:ascii="Times New Roman" w:cs="Times New Roman" w:eastAsia="Times New Roman" w:hAnsi="Times New Roman"/>
                <w:sz w:val="18"/>
                <w:szCs w:val="18"/>
                <w:color w:val="auto"/>
                <w:w w:val="93"/>
              </w:rPr>
              <w:t>6,373</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1,310</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0"/>
        </w:trPr>
        <w:tc>
          <w:tcPr>
            <w:tcW w:w="8680" w:type="dxa"/>
            <w:vAlign w:val="bottom"/>
          </w:tcPr>
          <w:p>
            <w:pPr>
              <w:spacing w:after="0"/>
              <w:rPr>
                <w:sz w:val="24"/>
                <w:szCs w:val="24"/>
                <w:color w:val="auto"/>
              </w:rPr>
            </w:pPr>
          </w:p>
        </w:tc>
        <w:tc>
          <w:tcPr>
            <w:tcW w:w="256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45"/>
        </w:trPr>
        <w:tc>
          <w:tcPr>
            <w:tcW w:w="868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7"/>
        </w:trPr>
        <w:tc>
          <w:tcPr>
            <w:tcW w:w="8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gridSpan w:val="2"/>
          </w:tcPr>
          <w:p>
            <w:pPr>
              <w:spacing w:after="0"/>
              <w:rPr>
                <w:sz w:val="19"/>
                <w:szCs w:val="19"/>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1,468</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stock-based compensation expense</w:t>
            </w:r>
          </w:p>
        </w:tc>
        <w:tc>
          <w:tcPr>
            <w:tcW w:w="1120" w:type="dxa"/>
            <w:vAlign w:val="bottom"/>
            <w:tcBorders>
              <w:top w:val="single" w:sz="8" w:color="auto"/>
              <w:bottom w:val="single" w:sz="8" w:color="auto"/>
            </w:tcBorders>
          </w:tcPr>
          <w:p>
            <w:pPr>
              <w:ind w:left="720"/>
              <w:spacing w:after="0" w:line="203" w:lineRule="exact"/>
              <w:rPr>
                <w:sz w:val="20"/>
                <w:szCs w:val="20"/>
                <w:color w:val="auto"/>
              </w:rPr>
            </w:pPr>
            <w:r>
              <w:rPr>
                <w:rFonts w:ascii="Times New Roman" w:cs="Times New Roman" w:eastAsia="Times New Roman" w:hAnsi="Times New Roman"/>
                <w:sz w:val="18"/>
                <w:szCs w:val="18"/>
                <w:color w:val="auto"/>
                <w:w w:val="93"/>
              </w:rPr>
              <w:t>1,468</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and Restricted Stock Units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changes in the Company’s restricted stock unit and restricted stock activity for the three and nine 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0" w:type="dxa"/>
            <w:vAlign w:val="bottom"/>
          </w:tcPr>
          <w:p>
            <w:pPr>
              <w:spacing w:after="0"/>
              <w:rPr>
                <w:sz w:val="21"/>
                <w:szCs w:val="21"/>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5"/>
              </w:rPr>
              <w:t>Value $</w:t>
            </w:r>
          </w:p>
        </w:tc>
        <w:tc>
          <w:tcPr>
            <w:tcW w:w="0" w:type="dxa"/>
            <w:vAlign w:val="bottom"/>
          </w:tcPr>
          <w:p>
            <w:pPr>
              <w:spacing w:after="0"/>
              <w:rPr>
                <w:sz w:val="1"/>
                <w:szCs w:val="1"/>
                <w:color w:val="auto"/>
              </w:rPr>
            </w:pPr>
          </w:p>
        </w:tc>
      </w:tr>
      <w:tr>
        <w:trPr>
          <w:trHeight w:val="216"/>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and Outstanding as of June 30, 2025</w:t>
            </w:r>
          </w:p>
        </w:tc>
        <w:tc>
          <w:tcPr>
            <w:tcW w:w="40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1,358,902</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5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5,021</w:t>
            </w:r>
          </w:p>
        </w:tc>
        <w:tc>
          <w:tcPr>
            <w:tcW w:w="2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49.14</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53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(336,412)</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5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and Outstanding as of March 31, 2026</w:t>
            </w:r>
          </w:p>
        </w:tc>
        <w:tc>
          <w:tcPr>
            <w:tcW w:w="404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1,027,510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6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Date Fair</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2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Value $</w:t>
            </w:r>
          </w:p>
        </w:tc>
        <w:tc>
          <w:tcPr>
            <w:tcW w:w="0" w:type="dxa"/>
            <w:vAlign w:val="bottom"/>
          </w:tcPr>
          <w:p>
            <w:pPr>
              <w:spacing w:after="0"/>
              <w:rPr>
                <w:sz w:val="1"/>
                <w:szCs w:val="1"/>
                <w:color w:val="auto"/>
              </w:rPr>
            </w:pPr>
          </w:p>
        </w:tc>
      </w:tr>
      <w:tr>
        <w:trPr>
          <w:trHeight w:val="216"/>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and Outstanding as of December 31, 2025</w:t>
            </w:r>
          </w:p>
        </w:tc>
        <w:tc>
          <w:tcPr>
            <w:tcW w:w="40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1,027,510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53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53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53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and Outstanding as of March 31, 2026</w:t>
            </w:r>
          </w:p>
        </w:tc>
        <w:tc>
          <w:tcPr>
            <w:tcW w:w="40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1,027,510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404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10 – Stock-based payments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changes in the Company’s stock options activity for the three and nine months ended March 31, 2026,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816.62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(3,645)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1,218.25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Unvested as of March 31, 2026</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391"/>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Unvested as of March 31, 2026</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shares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March 31, 2026 and March 31, 2025, respectively, the Company did not recognize a provision or benefit for income taxes as it incurred net losses. In addition, the net deferred tax assets generated from net operating losses were fully offset by a valuation allowance as the Company believes it is not more likely than not that the benefit will be realized.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12 – Fair value of Financial Instruments</w:t>
      </w:r>
    </w:p>
    <w:p>
      <w:pPr>
        <w:spacing w:after="0" w:line="22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accounts receivable (including assets pledged as security for short-term debt and R&amp;D tax incentive receivable), prepaid expenses and other current assets, accounts payable, accrued expenses, and current liabilities are reflected on the consolidated balance sheets at amounts that approximate fair value because of the short-term nature of these financial assets and liabilities.</w:t>
      </w:r>
    </w:p>
    <w:p>
      <w:pPr>
        <w:spacing w:after="0" w:line="17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Company’s debt approximates its carrying value and is classified as Level 3 within the fair value hierarchy, as it is derived from discounted cash flows using a current borrowing rate.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2026 Common Warrants</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Classification of the March 2026 Common Warrants as liability instruments was based on management’s analysis of the guidance in ASC 815 and in a statement issued by the Staff of the SEC regarding the accounting and reporting considerations for warrants issued entitled “Staff Statement on Accounting and Reporting Considerations for Warrants Issued by Special Purpose Acquisition Companies.”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Management considered whether the March 2026 Common Warrants displayed the three characteristics of a derivative under ASC 815 and concluded that the warrant meets the definition of a derivative. However, the March 2026 Common Warrants failed to meet the equity scope exception in ASC 815-10-15-74(a) and thus is classified as a liability measured at fair value, subject to remeasurement at each reporting period. This conclusion is based on the fact that the warrant includes certain cash-settlement features in the event of a tender offer, which is outside the control of the Company. As a result, the instrument is not considered to be indexed to the reporting entity’s own stock. The Company measured the March 2026 Common Warrants as a liability at fair value as at each reporting period with changes in fair value recognized as other (income) expense, net in the consolidated statements of operations and comprehensive income (loss).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March 2026 Common Warrants was classified as a Level 3 financial instrument in the fair value hierarchy and was valued using the Black-Scholes option pricing model (“BSOPM”). The following table presents the fair value of the warrant and the valuation assumptions under the BSOPM as of March 31, 2026 and at issuance.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At</w:t>
            </w:r>
          </w:p>
        </w:tc>
      </w:tr>
      <w:tr>
        <w:trPr>
          <w:trHeight w:val="245"/>
        </w:trPr>
        <w:tc>
          <w:tcPr>
            <w:tcW w:w="8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Issuance</w:t>
            </w: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(in thousands)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price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Expected option term (years)</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Expected volatility</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free rate of return</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Expected annual dividend yield</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fair value of the warrant liability resulted in a decrease of $0.4 million for the three months ended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Information on Share Repurchase Program</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August 2025, our Board of Directors authorized a $20 million share repurchase program pursuant to which the Company may repurchase up to $20 million of its outstanding shares of Common Stock. The share repurchase program has an expiration on August 30, 2026. Under the share repurchase program, the Company may repurchase shares of Common Stock from time-to-time in the open market or in privately negotiated transactions, accelerated share repurchase arrangements, or other methods permitted under applicable securities laws in compliance with Rule 10b-18 of the Securities Exchange Act of 1934, as amended.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14 – Loss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Basic and diluted net loss per share attributable to stockholders was calculated as follows (in thousands,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r>
      <w:tr>
        <w:trPr>
          <w:trHeight w:val="245"/>
        </w:trPr>
        <w:tc>
          <w:tcPr>
            <w:tcW w:w="868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8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CCEEFF"/>
            </w:tcBorders>
          </w:tcPr>
          <w:p>
            <w:pPr>
              <w:spacing w:after="0"/>
              <w:rPr>
                <w:sz w:val="21"/>
                <w:szCs w:val="2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 (dollars per share)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71"/>
        </w:trPr>
        <w:tc>
          <w:tcPr>
            <w:tcW w:w="868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The loss and weighted average number of shares of common stock used in the calculation of basic loss per share is as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follows: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 (in thousands)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(17,343)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(15,445)</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Weighted average number of shares of common stock (number)</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11,451,276</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607,962</w:t>
            </w:r>
          </w:p>
        </w:tc>
      </w:tr>
      <w:tr>
        <w:trPr>
          <w:trHeight w:val="391"/>
        </w:trPr>
        <w:tc>
          <w:tcPr>
            <w:tcW w:w="8680" w:type="dxa"/>
            <w:vAlign w:val="bottom"/>
          </w:tcPr>
          <w:p>
            <w:pPr>
              <w:spacing w:after="0"/>
              <w:rPr>
                <w:sz w:val="24"/>
                <w:szCs w:val="24"/>
                <w:color w:val="auto"/>
              </w:rPr>
            </w:pPr>
          </w:p>
        </w:tc>
        <w:tc>
          <w:tcPr>
            <w:tcW w:w="2560" w:type="dxa"/>
            <w:vAlign w:val="bottom"/>
            <w:gridSpan w:val="5"/>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r>
      <w:tr>
        <w:trPr>
          <w:trHeight w:val="245"/>
        </w:trPr>
        <w:tc>
          <w:tcPr>
            <w:tcW w:w="8680" w:type="dxa"/>
            <w:vAlign w:val="bottom"/>
          </w:tcPr>
          <w:p>
            <w:pPr>
              <w:spacing w:after="0"/>
              <w:rPr>
                <w:sz w:val="21"/>
                <w:szCs w:val="21"/>
                <w:color w:val="auto"/>
              </w:rPr>
            </w:pPr>
          </w:p>
        </w:tc>
        <w:tc>
          <w:tcPr>
            <w:tcW w:w="2560" w:type="dxa"/>
            <w:vAlign w:val="bottom"/>
            <w:gridSpan w:val="5"/>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r>
      <w:tr>
        <w:trPr>
          <w:trHeight w:val="207"/>
        </w:trPr>
        <w:tc>
          <w:tcPr>
            <w:tcW w:w="868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CCEEFF"/>
            </w:tcBorders>
          </w:tcPr>
          <w:p>
            <w:pPr>
              <w:spacing w:after="0"/>
              <w:rPr>
                <w:sz w:val="21"/>
                <w:szCs w:val="2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 (dollars per share)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71"/>
        </w:trPr>
        <w:tc>
          <w:tcPr>
            <w:tcW w:w="868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The loss and weighted average number of shares of common stock used in the calculation of basic loss per share is as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follows: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 (in thousands)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(4,351)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Weighted average number of shares of common stock (number)</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12,348,460</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654,418</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notes that the diluted loss per share is the same as basic loss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From April 1, 2026 through May 15, 2026, the Company has repurchased 1.7 million shares of its Common Stock under the share repurchase program for aggregate consideration of approximately $6.8 million. In total to date, the Company has repurchased 2.1 million shares of its Common Stock under the share repurchase program for aggregate consideration of approximately $9.1 million. See Note 13, </w:t>
      </w:r>
      <w:r>
        <w:rPr>
          <w:rFonts w:ascii="Times New Roman" w:cs="Times New Roman" w:eastAsia="Times New Roman" w:hAnsi="Times New Roman"/>
          <w:sz w:val="18"/>
          <w:szCs w:val="18"/>
          <w:i w:val="1"/>
          <w:iCs w:val="1"/>
          <w:color w:val="auto"/>
        </w:rPr>
        <w:t>Information on Share Repurchase Program</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Settlement of Vendor Dispute</w:t>
      </w:r>
    </w:p>
    <w:p>
      <w:pPr>
        <w:spacing w:after="0" w:line="22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In May 2026, the Company entered into a settlement with a vendor with respect to a dispute regarding an outstanding invoice. Pursuant to the settlement, the Company agreed to pay the vendor $75,000.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unaudited condensed consolidated financial statements and notes thereto included elsewhere in this Quarterly Report on Form 10-Q (this “Quarterly Report”). This Quarterly Report contains forward-looking statements. This discussion and analysis contain forward looking statements and involves numerous risks and uncertainties, including, but not limited to, those described in the “Risk Factors” section in our Annual Report on Form 10-K for the fiscal year ended June 30, 2025, as filed with the Securities and Exchange Commission (the “SEC”) on September 29, 2025 (the “2025 Annual Report”). We caution the reader not to place undue reliance on these forward-looking statements, which reflect management’s analysis only as of the date of this Quarterly Report. We undertake no obligation to update forward-looking statements, which reflect events or circumstances occurring after the date of this Quarterly Report.</w:t>
      </w:r>
    </w:p>
    <w:p>
      <w:pPr>
        <w:spacing w:after="0" w:line="18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Our accounting policies under U.S. GAAP are referred to in Note 2 of the unaudited condensed consolidated financial statements in this Quarterly Report. All amounts are in United States dollars, unless otherwise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developing innovative combination therapies for patients living with serious chronic conditions and significant unmet needs. Our lead clinical program, IHL-42X, is an oral fixed-dose combination of dronabinol and acetazolamide for the treatment of obstructive sleep apnea (“OSA”). IHL-42X has completed a Phase 2 clinical program (RePOSA) with positive results, has been granted Fast Track designation by the U.S. Food and Drug Administration (“FDA”), and is currently being evaluated in the DReAMzz Phase 2 crossover dose-optimization study designed to further refine the dosing profile ahead of a planned Phase 3 registration program. PSX-001 is an oral synthetic psilocybin treatment in combination with psychological therapy for generalized anxiety disorder (“GAD”). PSX-001 has completed a Phase 2 proof-of-concept trial (PsiGAD1) with positive results, and we have received FDA approval of an Investigational New Drug application for PsiGAD2, a Phase 2b dose-comparison study being conducted at sites in the United States and the United Kingdom. IHL-675A is an oral fixed-dose combination of cannabidiol and hydroxychloroquine sulfate for rheumatoid arthritis, and is currently in Phase 2 clinical development. Each of these programs targets conditions that currently have limited, inadequate, or no approved pharmaceutical treatment options.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February 24, 2026, we filed with the Secretary of State of the State of Delaware an amendment (the “Certificate of Amendment”) to our amended and restated certificate of incorporation, as amended (the “Certificate of Incorporation”), to effect a reverse stock split of our common stock, par value $0.0001 per share (the “Common Stock”), at a ratio of 1-for-30 (the “Reverse Stock Split”). Pursuant to the Certificate of Amendment, the Reverse Stock Split became effective as of 4:01 p.m. Eastern Time on February 26, 2026 (the “Effective Time”) and shares of our Common Stock began trading on a post-split basis at the open of trading on The Nasdaq Capital Market on February 27, 2026. At the Effective Time, every 30 shares of our issued and outstanding shares of Common Stock automatically converted into one share of Common Stock, without any change in the par value per share. In addition, proportionate adjustments were made to the per share exercise price and the number of shares issuable upon the exercise of all outstanding equity awards, and to the number of shares issued and issuable under our stock incentive plans. No change was made to the number of shares of Common Stock authorized under the Certificate of Incorporation. No fractional shares were issued in connection with the Reverse Stock Split. Stockholders of record who otherwise would have been entitled to receive fractional shares because they held a number of shares not evenly divisible by the Reverse Stock Split ratio were automatically entitled to receive an additional fraction of a share of Common Stock to round up to the next whole share. With respect to outstanding Common Stock held in “street name” through a bank, broker or other nominee, fractional shares were rounded up at the participant level. Cash was not paid for fractional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2026 Offering</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March 12, 2026, we entered into a Securities Purchase Agreement (the “March 2026 Purchase Agreement”) with certain institutional investors (the “March 2026 Investors”), pursuant to which we issued and sold, in a registered direct offering (the “March 2026 Offering”) (i) an aggregate of 1,997,285 shares of our Common Stock, (ii) pre-funded warrants to purchase up to 2,715 shares of our Common Stock (the “March 2026 Pre-Funded Warrants”), and (iii) common stock warrants to purchase up to 2,000,000 shares of our Common Stock (the “March 2026 Common Warrants”) at a combined purchase price of $5.00 per March 2026 Share and accompanying March 2026 Common Warrant, or $4.9999 per March 2026 Pre-Funded Warrant and accompanying March 2026 Common Warrant. The March 2026 Common Warrants are exercisable for a period of five years commencing upon issuance, at an exercise price of $6.50 per share, subject to certain adjustments set forth therein. The March 2026 Pre-Funded Warrants became exercisable upon issuance and expire upon the exercise of the March 2026 Pre-Funded Warrants in full, at an exercise price of $0.0001 per share, subject to certain adjustments set forth therein. The aggregate gross proceeds to the Company from the March 2026 Offering were approximately $10 million before deducting the placement agent’s fees and related offering expenses.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March 31, 2026 and 2025</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our results of operations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940" w:type="dxa"/>
            <w:vAlign w:val="bottom"/>
            <w:gridSpan w:val="6"/>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5"/>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For nine months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5"/>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5"/>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4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5"/>
              </w:rPr>
              <w:t>% Change</w:t>
            </w:r>
          </w:p>
        </w:tc>
        <w:tc>
          <w:tcPr>
            <w:tcW w:w="0" w:type="dxa"/>
            <w:vAlign w:val="bottom"/>
          </w:tcPr>
          <w:p>
            <w:pPr>
              <w:spacing w:after="0"/>
              <w:rPr>
                <w:sz w:val="1"/>
                <w:szCs w:val="1"/>
                <w:color w:val="auto"/>
              </w:rPr>
            </w:pPr>
          </w:p>
        </w:tc>
      </w:tr>
      <w:tr>
        <w:trPr>
          <w:trHeight w:val="216"/>
        </w:trPr>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customers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right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(2,735)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(2,414)</w:t>
            </w:r>
          </w:p>
        </w:tc>
        <w:tc>
          <w:tcPr>
            <w:tcW w:w="1440" w:type="dxa"/>
            <w:vAlign w:val="bottom"/>
            <w:tcBorders>
              <w:right w:val="single" w:sz="8" w:color="CCEEFF"/>
            </w:tcBorders>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(3,721)</w:t>
            </w: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(7,045)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(3,324)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20"/>
                <w:szCs w:val="20"/>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(3,727)</w:t>
            </w:r>
          </w:p>
        </w:tc>
        <w:tc>
          <w:tcPr>
            <w:tcW w:w="160" w:type="dxa"/>
            <w:vAlign w:val="bottom"/>
          </w:tcPr>
          <w:p>
            <w:pPr>
              <w:spacing w:after="0"/>
              <w:rPr>
                <w:sz w:val="20"/>
                <w:szCs w:val="20"/>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(2,268)</w:t>
            </w:r>
          </w:p>
        </w:tc>
        <w:tc>
          <w:tcPr>
            <w:tcW w:w="14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1,459</w:t>
            </w:r>
          </w:p>
        </w:tc>
        <w:tc>
          <w:tcPr>
            <w:tcW w:w="144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20"/>
                <w:szCs w:val="20"/>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(14,115)</w:t>
            </w:r>
          </w:p>
        </w:tc>
        <w:tc>
          <w:tcPr>
            <w:tcW w:w="160" w:type="dxa"/>
            <w:vAlign w:val="bottom"/>
          </w:tcPr>
          <w:p>
            <w:pPr>
              <w:spacing w:after="0"/>
              <w:rPr>
                <w:sz w:val="20"/>
                <w:szCs w:val="20"/>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(9,302)</w:t>
            </w:r>
          </w:p>
        </w:tc>
        <w:tc>
          <w:tcPr>
            <w:tcW w:w="140" w:type="dxa"/>
            <w:vAlign w:val="bottom"/>
          </w:tcPr>
          <w:p>
            <w:pPr>
              <w:spacing w:after="0"/>
              <w:rPr>
                <w:sz w:val="20"/>
                <w:szCs w:val="20"/>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4,813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6"/>
        </w:trPr>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CCEEFF"/>
              <w:bottom w:val="single" w:sz="8" w:color="CCEEFF"/>
              <w:right w:val="single" w:sz="8" w:color="CCEEFF"/>
            </w:tcBorders>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(16,347</w:t>
            </w:r>
          </w:p>
        </w:tc>
        <w:tc>
          <w:tcPr>
            <w:tcW w:w="200" w:type="dxa"/>
            <w:vAlign w:val="bottom"/>
            <w:tcBorders>
              <w:top w:val="single" w:sz="8" w:color="CCEEFF"/>
              <w:bottom w:val="single" w:sz="8" w:color="CCEEFF"/>
              <w:right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3"/>
        </w:trPr>
        <w:tc>
          <w:tcPr>
            <w:tcW w:w="2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(4,048)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(5,003)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955</w:t>
            </w:r>
          </w:p>
        </w:tc>
        <w:tc>
          <w:tcPr>
            <w:tcW w:w="120" w:type="dxa"/>
            <w:vAlign w:val="bottom"/>
          </w:tcPr>
          <w:p>
            <w:pPr>
              <w:spacing w:after="0"/>
              <w:rPr>
                <w:sz w:val="17"/>
                <w:szCs w:val="17"/>
                <w:color w:val="auto"/>
              </w:rPr>
            </w:pPr>
          </w:p>
        </w:tc>
        <w:tc>
          <w:tcPr>
            <w:tcW w:w="1440" w:type="dxa"/>
            <w:vAlign w:val="bottom"/>
            <w:gridSpan w:val="3"/>
          </w:tcPr>
          <w:p>
            <w:pPr>
              <w:jc w:val="right"/>
              <w:ind w:right="310"/>
              <w:spacing w:after="0" w:line="203" w:lineRule="exact"/>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(17,836)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(16,261)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(1,575)</w:t>
            </w:r>
          </w:p>
        </w:tc>
        <w:tc>
          <w:tcPr>
            <w:tcW w:w="220" w:type="dxa"/>
            <w:vAlign w:val="bottom"/>
          </w:tcPr>
          <w:p>
            <w:pPr>
              <w:spacing w:after="0"/>
              <w:rPr>
                <w:sz w:val="17"/>
                <w:szCs w:val="17"/>
                <w:color w:val="auto"/>
              </w:rPr>
            </w:pPr>
          </w:p>
        </w:tc>
        <w:tc>
          <w:tcPr>
            <w:tcW w:w="10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(expense):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R&amp;D tax incentive</w:t>
            </w:r>
          </w:p>
        </w:tc>
        <w:tc>
          <w:tcPr>
            <w:tcW w:w="14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44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953</w:t>
            </w:r>
          </w:p>
        </w:tc>
        <w:tc>
          <w:tcPr>
            <w:tcW w:w="16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2,188</w:t>
            </w:r>
          </w:p>
        </w:tc>
        <w:tc>
          <w:tcPr>
            <w:tcW w:w="14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(1,235)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gains (losses)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40" w:type="dxa"/>
            <w:vAlign w:val="bottom"/>
            <w:tcBorders>
              <w:right w:val="single" w:sz="8" w:color="CCEEFF"/>
            </w:tcBorders>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132</w:t>
            </w:r>
          </w:p>
        </w:tc>
        <w:tc>
          <w:tcPr>
            <w:tcW w:w="1440" w:type="dxa"/>
            <w:vAlign w:val="bottom"/>
            <w:tcBorders>
              <w:right w:val="single" w:sz="8" w:color="CCEEFF"/>
            </w:tcBorders>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convertible</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w:t>
            </w:r>
          </w:p>
        </w:tc>
        <w:tc>
          <w:tcPr>
            <w:tcW w:w="140" w:type="dxa"/>
            <w:vAlign w:val="bottom"/>
          </w:tcPr>
          <w:p>
            <w:pPr>
              <w:spacing w:after="0"/>
              <w:rPr>
                <w:sz w:val="20"/>
                <w:szCs w:val="20"/>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Pr>
          <w:p>
            <w:pPr>
              <w:spacing w:after="0"/>
              <w:rPr>
                <w:sz w:val="20"/>
                <w:szCs w:val="20"/>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warrant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1,824</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440" w:type="dxa"/>
            <w:vAlign w:val="bottom"/>
            <w:tcBorders>
              <w:right w:val="single" w:sz="8" w:color="CCEEFF"/>
            </w:tcBorders>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1,721</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(1,341)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14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-155</w:t>
            </w:r>
          </w:p>
        </w:tc>
        <w:tc>
          <w:tcPr>
            <w:tcW w:w="144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18"/>
                <w:szCs w:val="18"/>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(994)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994</w:t>
            </w:r>
          </w:p>
        </w:tc>
        <w:tc>
          <w:tcPr>
            <w:tcW w:w="1440" w:type="dxa"/>
            <w:vAlign w:val="bottom"/>
            <w:tcBorders>
              <w:right w:val="single" w:sz="8" w:color="CCEEFF"/>
            </w:tcBorders>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(994)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994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ELOC commitment fee</w:t>
            </w:r>
          </w:p>
        </w:tc>
        <w:tc>
          <w:tcPr>
            <w:tcW w:w="14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(1,095)</w:t>
            </w:r>
          </w:p>
        </w:tc>
        <w:tc>
          <w:tcPr>
            <w:tcW w:w="140" w:type="dxa"/>
            <w:vAlign w:val="bottom"/>
          </w:tcPr>
          <w:p>
            <w:pPr>
              <w:spacing w:after="0"/>
              <w:rPr>
                <w:sz w:val="18"/>
                <w:szCs w:val="18"/>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1,095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earnings (loss) of joint venture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44</w:t>
            </w:r>
          </w:p>
        </w:tc>
        <w:tc>
          <w:tcPr>
            <w:tcW w:w="1440" w:type="dxa"/>
            <w:vAlign w:val="bottom"/>
            <w:tcBorders>
              <w:right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 (expenses), net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1,035</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44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1,025</w:t>
            </w:r>
          </w:p>
        </w:tc>
        <w:tc>
          <w:tcPr>
            <w:tcW w:w="16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979</w:t>
            </w:r>
          </w:p>
        </w:tc>
        <w:tc>
          <w:tcPr>
            <w:tcW w:w="140" w:type="dxa"/>
            <w:vAlign w:val="bottom"/>
          </w:tcPr>
          <w:p>
            <w:pPr>
              <w:spacing w:after="0"/>
              <w:rPr>
                <w:sz w:val="18"/>
                <w:szCs w:val="18"/>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2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 net of</w:t>
            </w: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9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(468)</w:t>
            </w:r>
          </w:p>
        </w:tc>
        <w:tc>
          <w:tcPr>
            <w:tcW w:w="16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(532)</w:t>
            </w:r>
          </w:p>
        </w:tc>
        <w:tc>
          <w:tcPr>
            <w:tcW w:w="16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2"/>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369</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41"/>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140" w:type="dxa"/>
            <w:vAlign w:val="bottom"/>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1440" w:type="dxa"/>
            <w:vAlign w:val="bottom"/>
            <w:tcBorders>
              <w:right w:val="single" w:sz="8" w:color="CCEEFF"/>
            </w:tcBorders>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(4,351</w:t>
            </w:r>
          </w:p>
        </w:tc>
        <w:tc>
          <w:tcPr>
            <w:tcW w:w="200" w:type="dxa"/>
            <w:vAlign w:val="bottom"/>
            <w:tcBorders>
              <w:top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(4,056</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(295</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CCEEFF"/>
            </w:tcBorders>
            <w:gridSpan w:val="3"/>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(17,343</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(15,445</w:t>
            </w:r>
          </w:p>
        </w:tc>
        <w:tc>
          <w:tcPr>
            <w:tcW w:w="200" w:type="dxa"/>
            <w:vAlign w:val="bottom"/>
            <w:tcBorders>
              <w:top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(1,898</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34"/>
        </w:trPr>
        <w:tc>
          <w:tcPr>
            <w:tcW w:w="2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5"/>
        </w:trPr>
        <w:tc>
          <w:tcPr>
            <w:tcW w:w="2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Customers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have not generated revenue for the three and nine months end March 31, 2026 and we do not expect to generate material revenues unless and until our drug candidates are approved.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external and internal costs incurred in performing clinical and preclinical development activities.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R&amp;D expenses include:</w:t>
      </w:r>
    </w:p>
    <w:p>
      <w:pPr>
        <w:spacing w:after="0" w:line="225" w:lineRule="exact"/>
        <w:rPr>
          <w:sz w:val="20"/>
          <w:szCs w:val="20"/>
          <w:color w:val="auto"/>
        </w:rPr>
      </w:pPr>
    </w:p>
    <w:p>
      <w:pPr>
        <w:ind w:left="980" w:right="22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incurred under agreements with contract research organizations, contract manufacturers, consultants and other third parties to conduct and support our clinical trials and preclinical studies;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costs, including R&amp;D personnel-related expenses such as salaries, and benefits, as well as allocated facilities costs and dues and subscriptions.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expense research and development costs as incurred.</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2.4 million for the three months ended March 31, 2026 compared to the three months ended March 31, 2025 and by 3.3 million for the nine months ended March 31, 2026 compared to the nine months ended March 31, 2025. The decrease was primarily due to the completion of the IHL-42X safety and pharmacokinetics clinical trial. R&amp;D expenses for the period were primarily related to PSX-001 and IHL-42X clinical trials and scientific, marketing, and advertising subscription services.</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generally expect research and development costs to increase as we progress our drug candidates through clinical trials, including with respect to our Phase 2 crossover dose-optimization study (DReAMzz) investigating IHL-42X in patients with OSA. Although research and development activities are central to our business model, the successful development of our drug candidates is highly uncertain. There are numerous factors associated with the successful development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 stage clinical trials. As a result, we expect our research and development expenses will increase substantially in connection with our ongoing and planned clinical and preclinical development activities in the near term and in the future to the extent our development activities are successful. At this time, we cannot accurately estimate or know the nature, timing and costs of the efforts that will be necessary to complete the preclinical and clinical development of our drug candidates. Our research and development expenses have varied, and our future research and development expenses may vary, significantly based on a wide variety of factors such as:</w:t>
      </w:r>
    </w:p>
    <w:p>
      <w:pPr>
        <w:spacing w:after="0" w:line="192" w:lineRule="exact"/>
        <w:rPr>
          <w:sz w:val="20"/>
          <w:szCs w:val="20"/>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rate of progress, expense and results of our clinical trials and preclinical studies, including any modifications to clinical development plans based on feedback that we may receive from regulatory authorities;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safety monitoring requested by regulatory agencies;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of our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if any, of obtaining third-party drugs for use in our combination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changes in government regulation and regulatory guidance;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approvals from applicable regulatory authorities;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additional collaboration, license, or other arrangements.</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drug candidates could significantly change the costs and timing associated with the development of that drug candidate. We may never succeed in obtaining regulatory approval for any drug candidate.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finance and accounting, human resources and other administrative functions, including salaries, stock-based compensation and benefits for employees, legal fees, expenses relating to patent and corporate matters and professional fees paid for accounting, auditing, consulting and tax services, as well as facilities-related costs not otherwise included in research and development expenses and other costs such as insurance costs and travel expenses.</w:t>
      </w:r>
    </w:p>
    <w:p>
      <w:pPr>
        <w:spacing w:after="0" w:line="18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$1.5 million for the three months ended March 31, 2026 compared to the three months ended March 31, 2025. The increase was primarily attributable to increase in recognition of amortized stock-based payment expenses in the current quarter.</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$4.8 million for the nine months ended March 31, 2026 compared to the nine months ended March 31, 2025. The increase was primarily attributable to increases in recognition of amortized stock-based payment expenses in the current quarter and additional consulting charges including recurring monthly fees from advisory firms.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anticipate our general and administrative expenses will increase substantially in the future as we expand our operations, including increasing our headcount to support our continued research and development activities and preparing for potential commercialization of our drug candidates. We also anticipate we will incur increased accounting, audit, legal, regulatory, compliance, director and officer insurance, and investor and public relations expenses associated with operating as a U.S. public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from R&amp;D tax incentives</w:t>
      </w:r>
    </w:p>
    <w:p>
      <w:pPr>
        <w:spacing w:after="0" w:line="22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receive tax incentives from the Australian government for research and development activities. Subject to certain exclusions, the Australian Government tax incentives provide benefits for eligible research and development activities. Entities are entitled to either (i) a 48.5% refundable tax offset for eligible companies with an aggregated turnover of less than A$20 million per annum or (ii) a non-refundable 38.5% tax offset for all other eligible companies. Our aggregated turnover is less than A$20 million and we are not controlled by one or more income tax exempt entities, we anticipate being entitled to a claim of 48.5% refundable tax offset for costs relating to eligible research and development activities during the year.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6" w:name="page27"/>
    <w:bookmarkEnd w:id="26"/>
    <w:p>
      <w:pPr>
        <w:ind w:right="340" w:firstLine="648"/>
        <w:spacing w:after="0" w:line="312" w:lineRule="auto"/>
        <w:rPr>
          <w:sz w:val="20"/>
          <w:szCs w:val="20"/>
          <w:color w:val="auto"/>
        </w:rPr>
      </w:pPr>
      <w:r>
        <w:rPr>
          <w:rFonts w:ascii="Times New Roman" w:cs="Times New Roman" w:eastAsia="Times New Roman" w:hAnsi="Times New Roman"/>
          <w:sz w:val="17"/>
          <w:szCs w:val="17"/>
          <w:color w:val="auto"/>
        </w:rPr>
        <w:t>Benefit from R&amp;D tax incentive decreased by $0.3 million for the three months ended March 31, 2026 compared to the three months ended March 31, 2025. The decrease in the R&amp;D tax incentive receivable for the three months ended March 31, 2026, was primarily due to a lower estimate</w:t>
      </w:r>
    </w:p>
    <w:p>
      <w:pPr>
        <w:spacing w:after="0" w:line="14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Benefit from R&amp;D tax incentive decreased by $1.2 million for the nine months ended March 31, 2026 compared to the nine months ended March 31, 2025. The decrease in the R&amp;D tax incentive receivable for the nine months ended March 31, 2026, was primarily due to a lower estimate.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gains/(losses) and Interest Income</w:t>
      </w:r>
    </w:p>
    <w:p>
      <w:pPr>
        <w:spacing w:after="0" w:line="22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Foreign exchange gains decreased by $16,000 for the three months ended March 31, 2026 compared to the three months ended March 31, 2025, due to unfavorable currency exchange rates. Interest income increased over the same period, reflecting higher interest received from cash deposits.</w:t>
      </w:r>
    </w:p>
    <w:p>
      <w:pPr>
        <w:spacing w:after="0" w:line="162" w:lineRule="exact"/>
        <w:rPr>
          <w:sz w:val="20"/>
          <w:szCs w:val="20"/>
          <w:color w:val="auto"/>
        </w:rPr>
      </w:pPr>
    </w:p>
    <w:p>
      <w:pPr>
        <w:ind w:right="300" w:firstLine="648"/>
        <w:spacing w:after="0" w:line="312" w:lineRule="auto"/>
        <w:rPr>
          <w:sz w:val="20"/>
          <w:szCs w:val="20"/>
          <w:color w:val="auto"/>
        </w:rPr>
      </w:pPr>
      <w:r>
        <w:rPr>
          <w:rFonts w:ascii="Times New Roman" w:cs="Times New Roman" w:eastAsia="Times New Roman" w:hAnsi="Times New Roman"/>
          <w:sz w:val="17"/>
          <w:szCs w:val="17"/>
          <w:color w:val="auto"/>
        </w:rPr>
        <w:t>Foreign exchange losses decreased by $0.3 million for the nine months ended March 31, 2026 compared to the nine months ended March 31, 2025, due to favorable currency exchange rates. Interest income decrease over the same period, reflecting lower interest received from cash deposits.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of earnings (loss) of joint venture</w:t>
      </w:r>
    </w:p>
    <w:p>
      <w:pPr>
        <w:spacing w:after="0" w:line="22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Share of loss of joint venture increased by $44,000 for the three months ended March 31, 2026, compared to the three months ended March 31, 2025, due to the losses generated from the Company’s investment in Mind Clinics Australia.</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Share of loss of joint venture increased by $28,000 for the nine months ended March 31, 2026, compared to the nine months ended March 31, 2025, due to the losses generated from the Company’s investment in Mind Clinics Australia.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translation adjustment, net of tax</w:t>
      </w:r>
    </w:p>
    <w:p>
      <w:pPr>
        <w:spacing w:after="0" w:line="22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Currency translation adjustment, net of tax, increased by $0.4 million for the three months ended March 31, 2026, compared to the three months ended March 31, 2025. The increase was due to the appreciation of the Australian dollar against the U.S. dollar</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Currency translation adjustment, net of tax, increased by $0.4 million for the nine months ended March 31, 2026, compared to the nine months ended March 31, 2025. The increase was due to the appreciation of the Australian dollar against the U.S. dollar.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incurred net losses since inception and expect to incur substantial and increasing losses in the future as we expand our R&amp;D activities in an effort to move our drug candidates into later stages of development.</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incurred total comprehensive losses of $17.3 million and $15.4 million for the nine months ended March 31, 2026 and nine months ended March 31, 2025, respectively. We incurred net losses of $4.4 million and $4.1 million for the nine months ended March 31, 2026 and nine months ended March 31, 2025, respectively. As of March 31, 2026, we had accumulated deficit of $174.4 million. For the nine months ended March 31, 2026, we experienced net cash used in operating activities of $16.2 million, an increase of $5.2 million compared to the nine months ended March 31, 2025.</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during nine months ended March 31, 2026, we repurchased 0.4 million shares of our Common Stock at an aggregate cost of $2.3 million under the share repurchase program. Subsequent to quarter-end, from April 1, 2026 through May 15, 2026, we have repurchased an additional 1.7 million shares of our Common Stock under the share repurchase program for aggregate consideration of approximately $6.8 million. In total to date, we have repurchased 2.1 million shares of our Common Stock under the share repurchase program for aggregate consideration of approximately $9.1 million. We will continue to assess market conditions and may deploy the share repurchase program in its discretion as appropriate.</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27" w:name="page28"/>
    <w:bookmarkEnd w:id="27"/>
    <w:p>
      <w:pPr>
        <w:ind w:firstLine="567"/>
        <w:spacing w:after="0" w:line="252" w:lineRule="auto"/>
        <w:rPr>
          <w:sz w:val="20"/>
          <w:szCs w:val="20"/>
          <w:color w:val="auto"/>
        </w:rPr>
      </w:pPr>
      <w:r>
        <w:rPr>
          <w:rFonts w:ascii="Times New Roman" w:cs="Times New Roman" w:eastAsia="Times New Roman" w:hAnsi="Times New Roman"/>
          <w:sz w:val="18"/>
          <w:szCs w:val="18"/>
          <w:color w:val="auto"/>
        </w:rPr>
        <w:t>Our material cash requirements for the next twelve months are expected to consist primarily of costs associated with our clinical development activities, payments to contract research organizations, contract manufacturers and consultants, personnel and public-company costs, lease obligations and other working capital needs. Over the longer term, our cash requirements will depend on the timing, scope and results of our clinical development programs, regulatory interactions, manufacturing activities and any commercialization activities if we obtain regulatory approval for any drug candidate. Historically, the Company has financed its operations to date primarily through partnerships, funds received from public offerings of Common Stock, a debt financing facility, as well as funding from governmental bodies. Until such time as we can generate product revenues, if ever, we expect to finance our cash needs through the sale of Common Stock in public offerings and/or private placements, debt financings, or through other capital sources, including pursuant to the at-the-market offering program, collaborations with other companies or other strategic transactions. Any additional equity fundraising in the capital markets may be dilutive for our stockholders. To the extent that we raise additional capital through the sale of equity, convertible debt or other securities convertible into equity, the ownership interest of our stockholders will be diluted, and the terms of new securities may include liquidation or other preferences that adversely affect rights of our stockholders. Debt financing, if available at all, would likely involve agreements that include covenants limiting or restricting our ability to take specific actions, such as incurring additional debt, making capital expenditures, completing acquisitions or declaring or paying dividends. If we raise additional funds through strategic collaborations or licensing arrangements with third parties, we may have to relinquish valuable rights to our drug candidates or future revenue streams or grant licenses on terms that are not favorable to us.</w:t>
      </w:r>
    </w:p>
    <w:p>
      <w:pPr>
        <w:spacing w:after="0" w:line="19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As of March 31, 2026, we had cash and cash equivalents of $74.5 million, an increase of $59.4 million compared to our cash and cash equivalents as of June 30, 2025 of $15.0 million. As of March 31, 2026, our current assets exceed our current liabilities by $78.2 million, a $65.2 million increase compared to the difference between our current assets and current liabilities as of June 30, 2025 of $13.0 million. Although we expect our negative cash flows from operating activities to continue, we believe our current cash balances, together with anticipated cash flows and available financing arrangements, provide sufficient resources to meet our obligations and sustain operations for at least one year from the issuance date of the financial statements included in this Quarterly Report. However, we could use our capital resources sooner than we expect. Our operating plans may change, and we may need additional funds sooner than planned. The process of testing drug candidates in pre-clinical and clinical studies is costly, and the timing of progress in studies is uncertain. Because the outcome of these efforts is uncertain, we cannot estimate the actual amounts necessary to successfully complete the development and commercialization of our drug candidates or whether, or when, we may achieve profitability.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cash flows for the nine months ended March 31, 2026 and 2025</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Nine</w:t>
            </w:r>
          </w:p>
        </w:tc>
        <w:tc>
          <w:tcPr>
            <w:tcW w:w="140" w:type="dxa"/>
            <w:vAlign w:val="bottom"/>
          </w:tcPr>
          <w:p>
            <w:pPr>
              <w:spacing w:after="0"/>
              <w:rPr>
                <w:sz w:val="24"/>
                <w:szCs w:val="24"/>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 Nine</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Months</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(11,031)</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72,814</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11,794</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increase in cash</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56,509</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flows from operating activities</w:t>
      </w:r>
    </w:p>
    <w:p>
      <w:pPr>
        <w:spacing w:after="0" w:line="22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Cash used in operating activities increased by $5.2 million for the nine months ended March 31, 2026, compared to the nine months ended March 31, 2025. The increase was due to a decrease in trade and other payables.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flows from investing activities</w:t>
      </w:r>
    </w:p>
    <w:p>
      <w:pPr>
        <w:spacing w:after="0" w:line="22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increased by $56,000 for the nine months ended March 31, 2026 compared to the nine months ended March 31, 2025. The increase was due to our investment in Mind Medicine Australia.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increased by $61.0 million for the nine months ended March 31, 2026, compared to the nine months ended March 31, 2025. The increase was due to stock issuances under our at-the-market offering program and the March 2026 Offering, partially offset repurchases effected under our share repurchase program.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unaudited interim condensed consolidated financial statements as of March 31, 2026, which have been prepared in accordance with U.S. generally accepted accounting principles “U.S. GAAP”. The preparation of these unaudited interim condensed consolidated financial statements requires our management to make judgments and estimates that affect the reported amounts of assets, liabilities, costs and expenses, and the disclosure of contingent assets and liabilities during the reporting periods. We base our estimates on historical experience, known trends and events, and various other factors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9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described in the 2025 Annual Report, we believe the following accounting policies are those most critical to the judgments and estimates used in the preparation of our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account for stock-based compensation arrangements with employees and non-employees using a fair value method which requires the recognition of compensation expense for costs related to all stock-based payments including stock options. The fair value method requires us to estimate the fair value of stock-based payment awards on the date of grant using an option-pricing model. We use either the trinomial pricing or Black-Scholes option-pricing model to estimate the fair value of options granted. Stock-based compensation awards are expensed using the graded vesting method over the requisite service period, which is generally the vesting period, for each separately vesting tranche. We have elected a policy of estimating forfeitures at grant date. Option valuation models, including the trinomial pricing and Black-Scholes option-pricing model, require the input of several assumptions. These inputs are subjective and generally require significant analysis and judgment to develop.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consist of salaries, benefits and other personnel related costs including equity-based compensation expense, laboratory supplies, preclinical studies, clinical trials and related clinical manufacturing costs, costs related to manufacturing preparations, fees paid to other entities to conduct certain research and development activities on our behalf and allocated facility and other related costs.</w:t>
      </w:r>
    </w:p>
    <w:p>
      <w:pPr>
        <w:spacing w:after="0" w:line="18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Nonrefundable advance payments for goods or services that will be used or rendered for future research and development activities are deferred and capitalized as prepaid expenses until the related goods are delivered or services are performed.</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accrue for these costs based on factors such as estimates of the work completed and in accordance with agreements established with its third-party service providers. We make significant judgments and estimates in determining the accrued liabilities balance at the end of each reporting period. As actual costs become known, we adjust our accrued liabilities. We have not experienced any material differences between accrued costs and actual costs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R&amp;D Tax Incentive</w:t>
      </w:r>
    </w:p>
    <w:p>
      <w:pPr>
        <w:spacing w:after="0" w:line="22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Benefit from R&amp;D tax incentive consists of the R&amp;D tax incentive received in Australia, which is recorded within other income (expense), net. We recognize grants once both of the following conditions are met: (i) we are able to comply with the relevant conditions of the grant and (ii) the grant is receivable.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2026 Common Warrants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March 2026 Common Warrants are recognized under ASC 815. The March 2026 Common Warrants failed to meet the equity scope exception in ASC 815-10-15-74(a) and thus are classified as a liability measured at fair value, subject to remeasurement at each reporting period. This conclusion is based on the fact that the March 2026 Common Warrants include certain cash-settlement features in the event of a tender offer, which is outside the control of the Company, and that the exercise price is denominated in a currency other than the reporting entity’s functional currency. As a result, the instrument is not considered to be indexed to the reporting entity’s own stock. We measured the March 2026 Common Warrants as a liability at fair value as at each reporting period with changes in fair value recognized as other (income) expense, net in the consolidated statements of operations and comprehensive income (loss).</w:t>
      </w:r>
    </w:p>
    <w:p>
      <w:pPr>
        <w:spacing w:after="0" w:line="18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March 2026 Common Warrants was classified as a Level 3 financial instrument in the fair value hierarchy and was valued using the Black-Scholes option pricing model.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(as defined by Item 10 of Regulation S-K), we are permitted to omit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or persons performing similar functions,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as of the end of the period covered by this Quarterly Report, the effectiveness of the design and operation of our disclosure controls and procedures. Based upon that evaluation, our Chief Executive Officer and Chief Financial Officer concluded that, as of March 31, 2026, our disclosure controls and procedures were not effective at the reasonable assurance level due to the material weakness in internal control over financial reporting which existed as of March 31, 2026, relating to the documentation of accounting policies and procedures, particularly relating to the correct application of complex accounting measures as previously reported in our 2025 Annual Report.</w:t>
      </w:r>
    </w:p>
    <w:p>
      <w:pPr>
        <w:spacing w:after="0" w:line="192"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 Management has concluded that we did not maintain effective disclosure controls and procedures due to the material weakness in internal control over financial reporting which existed as of March 31, 2026, relating to the documentation of accounting policies and procedures, particularly relating to the correct application of complex accounting measures.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Efforts</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measures that we are undertaking to remediate the material weakness in internal control over financial reporting have and will include: (a) hiring qualified internal control personnel or consultants to manage the implementation of internal control policies, procedures and improvement of the internal audit function, as applicable; (b) developing and implementing written policies and procedures for accounting and financial reporting that meet the standards applied to public companies listed in the United States; and (c) conducting internal control training to management, key operations personnel and the accounting department, so that management and relevant personnel understand the requirements and elements of internal control over financial reporting mandated by the US securities laws.</w:t>
      </w:r>
    </w:p>
    <w:p>
      <w:pPr>
        <w:spacing w:after="0" w:line="187"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We believe we have made progress in accordance with our remediation plan even though the material weaknesses will not be considered remediated until we have completed implementing the necessary additional applicable controls and operate with them for a sufficient period of time to allow management and our auditors to conclude that these controls are operating effectively.</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cannot determine when our remediation plan will be fully completed and we cannot provide any assurance that these remediation efforts will be successful or that our internal control over financial reporting will be effective as a result of these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Other than the remediation of the material weakness discussed above, there were no changes in our internal controls over financial reporting (as such term is defined in Rules 13a-15(d) and 15d-15(d) under the Exchange Act) that occurred during three months ended March 31, 2026 that have materially affected, or are reasonably likely to materially affect, our internal control over financial reporting.</w:t>
      </w:r>
    </w:p>
    <w:p>
      <w:pPr>
        <w:spacing w:after="0" w:line="17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this material weakness, we believe that our financial statements contained in this Quarterly Report fairly present our financial position, results of operations and cash flows for the periods covered by this Quarterly Report in all material respects.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8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arising in the ordinary course of our business. We and our subsidiaries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set forth in Part I, Item 1A, “Risk Factors,” of the 2025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repurchased by us under our share repurchase program and the average price paid per share for the three months ended March 31, 2026,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(c) Total</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 Maximum</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Dollar Value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Repurchased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that</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 Total</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Repurchased</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(b) 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Under the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Price Paid Per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Plans</w:t>
            </w: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Repurchased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2026 (1/1/2026 - 1/31/2026)</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29,650</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18,536,817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2026 (2/1/2026 - 2/28/2026)</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18,536,817</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2026 (3/1/2026 - 3/31/2026)</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260,911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260,911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17,681,029</w:t>
            </w:r>
          </w:p>
        </w:tc>
      </w:tr>
      <w:tr>
        <w:trPr>
          <w:trHeight w:val="39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9"/>
                <w:szCs w:val="29"/>
                <w:color w:val="auto"/>
                <w:vertAlign w:val="superscript"/>
              </w:rPr>
              <w:t>(1)</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290,561</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290,561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17,681,029</w:t>
            </w:r>
          </w:p>
        </w:tc>
      </w:tr>
    </w:tbl>
    <w:p>
      <w:pPr>
        <w:spacing w:after="0" w:line="60" w:lineRule="exact"/>
        <w:rPr>
          <w:sz w:val="20"/>
          <w:szCs w:val="20"/>
          <w:color w:val="auto"/>
        </w:rPr>
      </w:pPr>
    </w:p>
    <w:p>
      <w:pPr>
        <w:ind w:left="340" w:right="140" w:hanging="332"/>
        <w:spacing w:after="0" w:line="258"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our board of directors authorized a share repurchase program pursuant to which we may repurchase up to $20 million of our outstanding shares of Common Stock. The share repurchase program expires on August 30, 2026. Under the share repurchase program, the Company may repurchase shares from time to time in the open market, privately negotiated transactions, accelerated share repurchase arrangements, or other methods permitted under applicable securities laws, including in compliance with Rule 10b-18 of the Exchange Act. All purchases listed above were made in the open market at prevailing market prices.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22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adopted or terminated “Rule 10b5-1 trading arrangement” or “non-Rule 10b5-1 trading arrangement,” as each term is defined in Item 408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6 is set forth on the Exhibit Index that immediately precedes the signature page to this report and is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720" w:type="dxa"/>
            <w:vAlign w:val="bottom"/>
            <w:gridSpan w:val="11"/>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9980" w:type="dxa"/>
            <w:vAlign w:val="bottom"/>
            <w:tcBorders>
              <w:top w:val="single" w:sz="8" w:color="auto"/>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Deed of Amendment and Restatement to Scheme Implementation Deed, dated September 13, 2023, between Incannex Healthcare Limited</w:t>
              </w:r>
            </w:hyperlink>
          </w:p>
        </w:tc>
        <w:tc>
          <w:tcPr>
            <w:tcW w:w="80" w:type="dxa"/>
            <w:vAlign w:val="bottom"/>
            <w:tcBorders>
              <w:top w:val="single" w:sz="8" w:color="auto"/>
              <w:bottom w:val="single" w:sz="8" w:color="CCEEFF"/>
            </w:tcBorders>
            <w:gridSpan w:val="2"/>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988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and Incannex Healthcare Inc. (incorporated by reference to Exhibit 2.1 of the Company’s Current Report on Form 8-K filed with the SEC</w:t>
              </w:r>
            </w:hyperlink>
          </w:p>
        </w:tc>
        <w:tc>
          <w:tcPr>
            <w:tcW w:w="18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10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6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on November 29, 2023).</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5"/>
                <w:szCs w:val="15"/>
                <w:color w:val="auto"/>
              </w:rPr>
            </w:pPr>
          </w:p>
        </w:tc>
        <w:tc>
          <w:tcPr>
            <w:tcW w:w="10060" w:type="dxa"/>
            <w:vAlign w:val="bottom"/>
            <w:gridSpan w:val="19"/>
          </w:tcPr>
          <w:p>
            <w:pPr>
              <w:spacing w:after="0" w:line="17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Amended and Restated Certificate of Incorporation, as filed with the Secretary of State of the State of Delaware on July 31, 2023</w:t>
              </w:r>
            </w:hyperlink>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9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(incorporated by reference to Exhibit 3.1 of the Company’s Current Report on Form 8-K filed with the SEC on November 29, 2023).</w:t>
              </w:r>
            </w:hyperlink>
          </w:p>
        </w:tc>
      </w:tr>
      <w:tr>
        <w:trPr>
          <w:trHeight w:val="21"/>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9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Certificate of Amendment to Amended and Restated Certificate of Incorporation, as filed with the Secretary of State of Delaware on May</w:t>
              </w:r>
            </w:hyperlink>
          </w:p>
        </w:tc>
        <w:tc>
          <w:tcPr>
            <w:tcW w:w="180" w:type="dxa"/>
            <w:vAlign w:val="bottom"/>
            <w:tcBorders>
              <w:bottom w:val="single" w:sz="8" w:color="CCEEFF"/>
            </w:tcBorders>
            <w:gridSpan w:val="3"/>
            <w:shd w:val="clear" w:color="auto" w:fill="CCEEFF"/>
          </w:tcPr>
          <w:p>
            <w:pPr>
              <w:spacing w:after="0"/>
              <w:rPr>
                <w:sz w:val="15"/>
                <w:szCs w:val="15"/>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978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27, 2025 (incorporated by reference to Exhibit 3.1 of the Company’s Current Report on Form 8-K filed with the SEC on May 28, 2025).</w:t>
              </w:r>
            </w:hyperlink>
          </w:p>
        </w:tc>
        <w:tc>
          <w:tcPr>
            <w:tcW w:w="280" w:type="dxa"/>
            <w:vAlign w:val="bottom"/>
            <w:tcBorders>
              <w:bottom w:val="single" w:sz="8" w:color="CCEEFF"/>
            </w:tcBorders>
            <w:gridSpan w:val="6"/>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5"/>
                <w:szCs w:val="15"/>
                <w:color w:val="auto"/>
              </w:rPr>
            </w:pPr>
          </w:p>
        </w:tc>
        <w:tc>
          <w:tcPr>
            <w:tcW w:w="950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Certificate of Amendment to Amended and Restated Certificate of Incorporation, as filed with the Secretary of State of Delaware on</w:t>
              </w:r>
            </w:hyperlink>
          </w:p>
        </w:tc>
        <w:tc>
          <w:tcPr>
            <w:tcW w:w="560" w:type="dxa"/>
            <w:vAlign w:val="bottom"/>
            <w:gridSpan w:val="9"/>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60" w:type="dxa"/>
            <w:vAlign w:val="bottom"/>
            <w:gridSpan w:val="19"/>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February 24, 2026 (incorporated by reference to Exhibit 3.1 of the Company’s Current Report on Form 8-K filed with the SEC on February</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25, 2026).</w:t>
              </w:r>
            </w:hyperlink>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49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984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Amended and Restated Bylaws, dated November 20, 2023 (incorporated by reference to Exhibit 3.2 of the Company’s Current Report on</w:t>
              </w:r>
            </w:hyperlink>
          </w:p>
        </w:tc>
        <w:tc>
          <w:tcPr>
            <w:tcW w:w="220" w:type="dxa"/>
            <w:vAlign w:val="bottom"/>
            <w:tcBorders>
              <w:bottom w:val="single" w:sz="8" w:color="CCEEFF"/>
            </w:tcBorders>
            <w:gridSpan w:val="5"/>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6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Form 8-K filed with the SEC on November 29, 2023).</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5"/>
                <w:szCs w:val="15"/>
                <w:color w:val="auto"/>
              </w:rPr>
            </w:pPr>
          </w:p>
        </w:tc>
        <w:tc>
          <w:tcPr>
            <w:tcW w:w="10060" w:type="dxa"/>
            <w:vAlign w:val="bottom"/>
            <w:gridSpan w:val="19"/>
          </w:tcPr>
          <w:p>
            <w:pPr>
              <w:spacing w:after="0" w:line="17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Form of Common Stock Warrant (incorporated by reference to Exhibit 4.1 of the Company’s Current Report on Form 8-K filed with the</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SEC on March 12, 2026).</w:t>
              </w:r>
            </w:hyperlink>
          </w:p>
        </w:tc>
        <w:tc>
          <w:tcPr>
            <w:tcW w:w="300" w:type="dxa"/>
            <w:vAlign w:val="bottom"/>
            <w:gridSpan w:val="7"/>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986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Form of Pre-Funded Warrant (incorporated by reference to Exhibit 4.2 of the Company’s Current Report on Form 8-K filed with the SEC</w:t>
              </w:r>
            </w:hyperlink>
          </w:p>
        </w:tc>
        <w:tc>
          <w:tcPr>
            <w:tcW w:w="200" w:type="dxa"/>
            <w:vAlign w:val="bottom"/>
            <w:tcBorders>
              <w:bottom w:val="single" w:sz="8" w:color="CCEEFF"/>
            </w:tcBorders>
            <w:gridSpan w:val="4"/>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6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on March 12, 2026</w:t>
              </w:r>
              <w:r>
                <w:rPr>
                  <w:rFonts w:ascii="Times New Roman" w:cs="Times New Roman" w:eastAsia="Times New Roman" w:hAnsi="Times New Roman"/>
                  <w:sz w:val="18"/>
                  <w:szCs w:val="18"/>
                  <w:color w:val="000000"/>
                </w:rPr>
                <w:t>).</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5"/>
                <w:szCs w:val="15"/>
                <w:color w:val="auto"/>
              </w:rPr>
            </w:pPr>
          </w:p>
        </w:tc>
        <w:tc>
          <w:tcPr>
            <w:tcW w:w="10060" w:type="dxa"/>
            <w:vAlign w:val="bottom"/>
            <w:gridSpan w:val="19"/>
          </w:tcPr>
          <w:p>
            <w:pPr>
              <w:spacing w:after="0" w:line="17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Form of Securities Purchase Agreement, dated as of March 12, 2026 (incorporated by reference to Exhibit 10.1 of the Company’s Current</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Report on Form 8-K filed with the SEC on March 12, 2026).</w:t>
              </w:r>
            </w:hyperlink>
          </w:p>
        </w:tc>
        <w:tc>
          <w:tcPr>
            <w:tcW w:w="180" w:type="dxa"/>
            <w:vAlign w:val="bottom"/>
            <w:gridSpan w:val="3"/>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60" w:type="dxa"/>
            <w:vAlign w:val="bottom"/>
            <w:tcBorders>
              <w:right w:val="single" w:sz="8" w:color="CCEEFF"/>
            </w:tcBorders>
            <w:shd w:val="clear" w:color="auto" w:fill="CCEEFF"/>
          </w:tcPr>
          <w:p>
            <w:pPr>
              <w:spacing w:after="0"/>
              <w:rPr>
                <w:sz w:val="15"/>
                <w:szCs w:val="15"/>
                <w:color w:val="auto"/>
              </w:rPr>
            </w:pPr>
          </w:p>
        </w:tc>
        <w:tc>
          <w:tcPr>
            <w:tcW w:w="1006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Placement Agency Agreement, dated as of March 12, 2026 (incorporated by reference to Exhibit 1.1 of the Company’s Current Report on</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580" w:type="dxa"/>
            <w:vAlign w:val="bottom"/>
            <w:gridSpan w:val="6"/>
            <w:shd w:val="clear" w:color="auto" w:fill="0000EE"/>
          </w:tcPr>
          <w:p>
            <w:pPr>
              <w:spacing w:after="0" w:line="20" w:lineRule="exact"/>
              <w:rPr>
                <w:sz w:val="1"/>
                <w:szCs w:val="1"/>
                <w:color w:val="auto"/>
              </w:rPr>
            </w:pPr>
          </w:p>
        </w:tc>
        <w:tc>
          <w:tcPr>
            <w:tcW w:w="568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tcBorders>
              <w:right w:val="single" w:sz="8" w:color="CCEEFF"/>
            </w:tcBorders>
            <w:gridSpan w:val="8"/>
            <w:shd w:val="clear" w:color="auto" w:fill="0000EE"/>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358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8"/>
              </w:rPr>
            </w:pPr>
            <w:hyperlink r:id="rId49">
              <w:r>
                <w:rPr>
                  <w:rFonts w:ascii="Times New Roman" w:cs="Times New Roman" w:eastAsia="Times New Roman" w:hAnsi="Times New Roman"/>
                  <w:sz w:val="18"/>
                  <w:szCs w:val="18"/>
                  <w:color w:val="0000EE"/>
                  <w:w w:val="98"/>
                </w:rPr>
                <w:t>Form 8-K filed with the SEC on March 12, 2026).</w:t>
              </w:r>
            </w:hyperlink>
          </w:p>
        </w:tc>
        <w:tc>
          <w:tcPr>
            <w:tcW w:w="6480" w:type="dxa"/>
            <w:vAlign w:val="bottom"/>
            <w:tcBorders>
              <w:bottom w:val="single" w:sz="8" w:color="CCEEFF"/>
            </w:tcBorders>
            <w:gridSpan w:val="13"/>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5"/>
                <w:szCs w:val="15"/>
                <w:color w:val="auto"/>
              </w:rPr>
            </w:pPr>
          </w:p>
        </w:tc>
        <w:tc>
          <w:tcPr>
            <w:tcW w:w="1006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Required Under Rule 13a-14(a) of the Securities Exchange Act of 1934, as amended.</w:t>
            </w:r>
          </w:p>
        </w:tc>
      </w:tr>
      <w:tr>
        <w:trPr>
          <w:trHeight w:val="21"/>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9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9260" w:type="dxa"/>
            <w:vAlign w:val="bottom"/>
            <w:tcBorders>
              <w:bottom w:val="single" w:sz="8" w:color="0000EE"/>
              <w:right w:val="single" w:sz="8" w:color="CCEEFF"/>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Required Under Rule 13a-14(a) of the Securities Exchange Act of 1934, as amended.</w:t>
            </w:r>
          </w:p>
        </w:tc>
        <w:tc>
          <w:tcPr>
            <w:tcW w:w="800" w:type="dxa"/>
            <w:vAlign w:val="bottom"/>
            <w:tcBorders>
              <w:bottom w:val="single" w:sz="8" w:color="CCEEFF"/>
            </w:tcBorders>
            <w:gridSpan w:val="10"/>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5"/>
                <w:szCs w:val="15"/>
                <w:color w:val="auto"/>
              </w:rPr>
            </w:pPr>
          </w:p>
        </w:tc>
        <w:tc>
          <w:tcPr>
            <w:tcW w:w="9980" w:type="dxa"/>
            <w:vAlign w:val="bottom"/>
            <w:tcBorders>
              <w:bottom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and Principal Financial Officer Required Under Rule 13a-14(b) of the Securities Exchange Act</w:t>
            </w:r>
          </w:p>
        </w:tc>
        <w:tc>
          <w:tcPr>
            <w:tcW w:w="80" w:type="dxa"/>
            <w:vAlign w:val="bottom"/>
            <w:gridSpan w:val="2"/>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of 1934, as amended, and 18 U.S.C. Section 1350.</w:t>
            </w:r>
          </w:p>
        </w:tc>
      </w:tr>
      <w:tr>
        <w:trPr>
          <w:trHeight w:val="21"/>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11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06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06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0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06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8"/>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0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4280" w:firstLine="8"/>
        <w:spacing w:after="0" w:line="489" w:lineRule="auto"/>
        <w:tabs>
          <w:tab w:leader="none" w:pos="11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25" w:lineRule="exact"/>
        <w:rPr>
          <w:sz w:val="20"/>
          <w:szCs w:val="20"/>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have been omitted pursuant to Item 601(a)(5) of Regulation S-K. We hereby undertake to furnish supplementally a copy of any omitted exhibit or schedule upon request by the SEC.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Incannex Healthcare Inc.</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By: /s/ Joel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Joel Latham</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 Director and President</w:t>
      </w:r>
    </w:p>
    <w:p>
      <w:pPr>
        <w:spacing w:after="0" w:line="20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By: /s/ Joseph Swan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Joseph Swan</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333" w:right="65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Joel Latham, certify that:</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Incannex Healthcare Inc. (the “Company”);</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hanging="324"/>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Joel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Joel Latham</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Swan, certify that:</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Incannex Healthcare Inc. (the “Company”);</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8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hanging="324"/>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Swan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Joseph Swan</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Treasurer and Secretary</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0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Incannex Healthcare Inc. (the “Company”) on Form 10-Q for the quarter ended March 31, 2026 (the “Report”) as filed with the Securities and Exchange Commission on the date hereof, each of the undersigned hereby certifies in his capacity as the specified officer of the Company, pursuant to 18 U.S.C. Section 1350, as adopted pursuant to Section 906 of the Sarbanes-Oxley Act of 2002, that to his knowledge:</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as amended; and</w:t>
      </w:r>
    </w:p>
    <w:p>
      <w:pPr>
        <w:spacing w:after="0" w:line="225" w:lineRule="exact"/>
        <w:rPr>
          <w:rFonts w:ascii="Times New Roman" w:cs="Times New Roman" w:eastAsia="Times New Roman" w:hAnsi="Times New Roman"/>
          <w:sz w:val="18"/>
          <w:szCs w:val="18"/>
          <w:color w:val="auto"/>
        </w:rPr>
      </w:pPr>
    </w:p>
    <w:p>
      <w:pPr>
        <w:ind w:right="140" w:firstLine="332"/>
        <w:spacing w:after="0" w:line="500" w:lineRule="auto"/>
        <w:tabs>
          <w:tab w:leader="none" w:pos="6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15, 2026</w:t>
      </w:r>
    </w:p>
    <w:p>
      <w:pPr>
        <w:spacing w:after="0" w:line="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Joel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Joel Latham</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Swan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Joseph Swan</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Treasurer and Secretary</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04"/>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41" Type="http://schemas.openxmlformats.org/officeDocument/2006/relationships/hyperlink" Target="http://www.sec.gov/Archives/edgar/data/1873875/000121390023091083/ea189032ex2-1_incannex.htm" TargetMode="External"/><Relationship Id="rId42" Type="http://schemas.openxmlformats.org/officeDocument/2006/relationships/hyperlink" Target="http://www.sec.gov/Archives/edgar/data/1873875/000121390023091083/ea189032ex3-1_incannex.htm" TargetMode="External"/><Relationship Id="rId43" Type="http://schemas.openxmlformats.org/officeDocument/2006/relationships/hyperlink" Target="http://www.sec.gov/Archives/edgar/data/1873875/000121390025047988/ea024345901ex3-1_incannex.htm" TargetMode="External"/><Relationship Id="rId44" Type="http://schemas.openxmlformats.org/officeDocument/2006/relationships/hyperlink" Target="http://www.sec.gov/Archives/edgar/data/1873875/000121390026020127/ea027810901ex3-1_incannex.htm" TargetMode="External"/><Relationship Id="rId45" Type="http://schemas.openxmlformats.org/officeDocument/2006/relationships/hyperlink" Target="http://www.sec.gov/Archives/edgar/data/1873875/000121390023091083/ea189032ex3-2_incannex.htm" TargetMode="External"/><Relationship Id="rId46" Type="http://schemas.openxmlformats.org/officeDocument/2006/relationships/hyperlink" Target="http://www.sec.gov/Archives/edgar/data/1873875/000121390026026645/ea027829601ex4-1.htm" TargetMode="External"/><Relationship Id="rId47" Type="http://schemas.openxmlformats.org/officeDocument/2006/relationships/hyperlink" Target="http://www.sec.gov/Archives/edgar/data/1873875/000121390026026645/ea027829601ex4-2.htm" TargetMode="External"/><Relationship Id="rId48" Type="http://schemas.openxmlformats.org/officeDocument/2006/relationships/hyperlink" Target="http://www.sec.gov/Archives/edgar/data/1873875/000121390026026645/ea027829601ex10-1.htm" TargetMode="External"/><Relationship Id="rId49" Type="http://schemas.openxmlformats.org/officeDocument/2006/relationships/hyperlink" Target="http://www.sec.gov/Archives/edgar/data/1873875/000121390026026645/ea027829601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2026-05-15T08:38:44Z</dcterms:created>
  <dcterms:modified xsi:type="dcterms:W3CDTF">2026-05-15T08:38:44Z</dcterms:modified>
</cp:coreProperties>
</file>