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9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t>UNITED STATES</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jc w:val="center"/>
        <w:ind w:left="4220" w:right="1120" w:hanging="3083"/>
        <w:spacing w:after="0" w:line="491" w:lineRule="auto"/>
        <w:tabs>
          <w:tab w:leader="none" w:pos="135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ANNUAL REPORT PURSUANT TO SECTION 13 OR 15(d) OF THE SECURITIES EXCHANGE ACT OF 1934 </w:t>
      </w:r>
      <w:r>
        <w:rPr>
          <w:rFonts w:ascii="Times New Roman" w:cs="Times New Roman" w:eastAsia="Times New Roman" w:hAnsi="Times New Roman"/>
          <w:sz w:val="18"/>
          <w:szCs w:val="18"/>
          <w:color w:val="auto"/>
        </w:rPr>
        <w:t>For the fiscal year ended June 30, 2024</w:t>
      </w:r>
    </w:p>
    <w:p>
      <w:pPr>
        <w:spacing w:after="0" w:line="1"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220" w:lineRule="exact"/>
        <w:rPr>
          <w:rFonts w:ascii="MS PGothic" w:cs="MS PGothic" w:eastAsia="MS PGothic" w:hAnsi="MS PGothic"/>
          <w:sz w:val="18"/>
          <w:szCs w:val="18"/>
          <w:color w:val="auto"/>
        </w:rPr>
      </w:pPr>
    </w:p>
    <w:p>
      <w:pPr>
        <w:jc w:val="center"/>
        <w:ind w:left="3880" w:right="940" w:hanging="2928"/>
        <w:spacing w:after="0" w:line="499" w:lineRule="auto"/>
        <w:tabs>
          <w:tab w:leader="none" w:pos="115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TRANSITION REPORT PURSUANT TO SECTION 13 OR 15(d) OF THE SECURITIES EXCHANGE ACT OF 1934 </w:t>
      </w:r>
      <w:r>
        <w:rPr>
          <w:rFonts w:ascii="Times New Roman" w:cs="Times New Roman" w:eastAsia="Times New Roman" w:hAnsi="Times New Roman"/>
          <w:sz w:val="18"/>
          <w:szCs w:val="18"/>
          <w:color w:val="auto"/>
        </w:rPr>
        <w:t>For the transition period from ______ to ______</w:t>
      </w:r>
    </w:p>
    <w:p>
      <w:pPr>
        <w:spacing w:after="0" w:line="1" w:lineRule="exact"/>
        <w:rPr>
          <w:rFonts w:ascii="MS PGothic" w:cs="MS PGothic" w:eastAsia="MS PGothic" w:hAnsi="MS PGothic"/>
          <w:sz w:val="18"/>
          <w:szCs w:val="18"/>
          <w:color w:val="auto"/>
        </w:rPr>
      </w:pPr>
    </w:p>
    <w:p>
      <w:pPr>
        <w:ind w:left="42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001-41106</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Incannex Healthcare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7680" w:type="dxa"/>
            <w:vAlign w:val="bottom"/>
            <w:gridSpan w:val="3"/>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6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93-2403210</w:t>
            </w:r>
          </w:p>
        </w:tc>
      </w:tr>
      <w:tr>
        <w:trPr>
          <w:trHeight w:val="197"/>
        </w:trPr>
        <w:tc>
          <w:tcPr>
            <w:tcW w:w="5520" w:type="dxa"/>
            <w:vAlign w:val="bottom"/>
            <w:tcBorders>
              <w:top w:val="single" w:sz="8" w:color="auto"/>
            </w:tcBorders>
          </w:tcPr>
          <w:p>
            <w:pPr>
              <w:jc w:val="center"/>
              <w:spacing w:after="0" w:line="197"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7"/>
                <w:szCs w:val="17"/>
                <w:color w:val="auto"/>
              </w:rPr>
            </w:pPr>
          </w:p>
        </w:tc>
        <w:tc>
          <w:tcPr>
            <w:tcW w:w="1940" w:type="dxa"/>
            <w:vAlign w:val="bottom"/>
            <w:tcBorders>
              <w:top w:val="single" w:sz="8" w:color="auto"/>
            </w:tcBorders>
          </w:tcPr>
          <w:p>
            <w:pPr>
              <w:spacing w:after="0"/>
              <w:rPr>
                <w:sz w:val="17"/>
                <w:szCs w:val="17"/>
                <w:color w:val="auto"/>
              </w:rPr>
            </w:pPr>
          </w:p>
        </w:tc>
        <w:tc>
          <w:tcPr>
            <w:tcW w:w="3560" w:type="dxa"/>
            <w:vAlign w:val="bottom"/>
            <w:tcBorders>
              <w:top w:val="single" w:sz="8" w:color="auto"/>
            </w:tcBorders>
          </w:tcPr>
          <w:p>
            <w:pPr>
              <w:jc w:val="center"/>
              <w:ind w:right="1850"/>
              <w:spacing w:after="0" w:line="197"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7680" w:type="dxa"/>
            <w:vAlign w:val="bottom"/>
            <w:gridSpan w:val="3"/>
          </w:tcPr>
          <w:p>
            <w:pPr>
              <w:jc w:val="center"/>
              <w:ind w:right="216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56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09"/>
        </w:trPr>
        <w:tc>
          <w:tcPr>
            <w:tcW w:w="7680" w:type="dxa"/>
            <w:vAlign w:val="bottom"/>
            <w:gridSpan w:val="3"/>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9"/>
              </w:rPr>
              <w:t>Suite 105, 8 Century Circuit</w:t>
            </w:r>
          </w:p>
        </w:tc>
        <w:tc>
          <w:tcPr>
            <w:tcW w:w="3560" w:type="dxa"/>
            <w:vAlign w:val="bottom"/>
          </w:tcPr>
          <w:p>
            <w:pPr>
              <w:spacing w:after="0"/>
              <w:rPr>
                <w:sz w:val="24"/>
                <w:szCs w:val="24"/>
                <w:color w:val="auto"/>
              </w:rPr>
            </w:pPr>
          </w:p>
        </w:tc>
      </w:tr>
      <w:tr>
        <w:trPr>
          <w:trHeight w:val="215"/>
        </w:trPr>
        <w:tc>
          <w:tcPr>
            <w:tcW w:w="7680" w:type="dxa"/>
            <w:vAlign w:val="bottom"/>
            <w:gridSpan w:val="3"/>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Norwest, NSW 2153</w:t>
            </w:r>
          </w:p>
        </w:tc>
        <w:tc>
          <w:tcPr>
            <w:tcW w:w="3560" w:type="dxa"/>
            <w:vAlign w:val="bottom"/>
          </w:tcPr>
          <w:p>
            <w:pPr>
              <w:spacing w:after="0"/>
              <w:rPr>
                <w:sz w:val="18"/>
                <w:szCs w:val="18"/>
                <w:color w:val="auto"/>
              </w:rPr>
            </w:pPr>
          </w:p>
        </w:tc>
      </w:tr>
      <w:tr>
        <w:trPr>
          <w:trHeight w:val="245"/>
        </w:trPr>
        <w:tc>
          <w:tcPr>
            <w:tcW w:w="7680" w:type="dxa"/>
            <w:vAlign w:val="bottom"/>
            <w:gridSpan w:val="3"/>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9"/>
              </w:rPr>
              <w:t>Australia</w:t>
            </w:r>
          </w:p>
        </w:tc>
        <w:tc>
          <w:tcPr>
            <w:tcW w:w="3560" w:type="dxa"/>
            <w:vAlign w:val="bottom"/>
          </w:tcPr>
          <w:p>
            <w:pPr>
              <w:jc w:val="right"/>
              <w:ind w:right="2470"/>
              <w:spacing w:after="0"/>
              <w:rPr>
                <w:sz w:val="20"/>
                <w:szCs w:val="20"/>
                <w:color w:val="auto"/>
              </w:rPr>
            </w:pPr>
            <w:r>
              <w:rPr>
                <w:rFonts w:ascii="Times New Roman" w:cs="Times New Roman" w:eastAsia="Times New Roman" w:hAnsi="Times New Roman"/>
                <w:sz w:val="18"/>
                <w:szCs w:val="18"/>
                <w:b w:val="1"/>
                <w:bCs w:val="1"/>
                <w:color w:val="auto"/>
              </w:rPr>
              <w:t>2153</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1940" w:type="dxa"/>
            <w:vAlign w:val="bottom"/>
            <w:tcBorders>
              <w:top w:val="single" w:sz="8" w:color="auto"/>
            </w:tcBorders>
          </w:tcPr>
          <w:p>
            <w:pPr>
              <w:spacing w:after="0"/>
              <w:rPr>
                <w:sz w:val="20"/>
                <w:szCs w:val="20"/>
                <w:color w:val="auto"/>
              </w:rPr>
            </w:pPr>
          </w:p>
        </w:tc>
        <w:tc>
          <w:tcPr>
            <w:tcW w:w="3560" w:type="dxa"/>
            <w:vAlign w:val="bottom"/>
            <w:tcBorders>
              <w:top w:val="single" w:sz="8" w:color="auto"/>
            </w:tcBorders>
          </w:tcPr>
          <w:p>
            <w:pPr>
              <w:jc w:val="center"/>
              <w:ind w:right="185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390"/>
        </w:trPr>
        <w:tc>
          <w:tcPr>
            <w:tcW w:w="7680" w:type="dxa"/>
            <w:vAlign w:val="bottom"/>
            <w:gridSpan w:val="3"/>
          </w:tcPr>
          <w:p>
            <w:pPr>
              <w:jc w:val="right"/>
              <w:ind w:right="1440"/>
              <w:spacing w:after="0"/>
              <w:rPr>
                <w:sz w:val="20"/>
                <w:szCs w:val="20"/>
                <w:color w:val="auto"/>
              </w:rPr>
            </w:pPr>
            <w:r>
              <w:rPr>
                <w:rFonts w:ascii="Times New Roman" w:cs="Times New Roman" w:eastAsia="Times New Roman" w:hAnsi="Times New Roman"/>
                <w:sz w:val="18"/>
                <w:szCs w:val="18"/>
                <w:b w:val="1"/>
                <w:bCs w:val="1"/>
                <w:color w:val="auto"/>
              </w:rPr>
              <w:t>+61 409 840 786</w:t>
            </w:r>
          </w:p>
        </w:tc>
        <w:tc>
          <w:tcPr>
            <w:tcW w:w="3560" w:type="dxa"/>
            <w:vAlign w:val="bottom"/>
          </w:tcPr>
          <w:p>
            <w:pPr>
              <w:spacing w:after="0"/>
              <w:rPr>
                <w:sz w:val="24"/>
                <w:szCs w:val="24"/>
                <w:color w:val="auto"/>
              </w:rPr>
            </w:pPr>
          </w:p>
        </w:tc>
      </w:tr>
      <w:tr>
        <w:trPr>
          <w:trHeight w:val="238"/>
        </w:trPr>
        <w:tc>
          <w:tcPr>
            <w:tcW w:w="7680" w:type="dxa"/>
            <w:vAlign w:val="bottom"/>
            <w:gridSpan w:val="3"/>
          </w:tcPr>
          <w:p>
            <w:pPr>
              <w:jc w:val="center"/>
              <w:ind w:left="347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color w:val="auto"/>
                <w:w w:val="99"/>
              </w:rPr>
              <w:t>Registrant’s telephone number, including area code)</w:t>
            </w:r>
          </w:p>
        </w:tc>
        <w:tc>
          <w:tcPr>
            <w:tcW w:w="3560" w:type="dxa"/>
            <w:vAlign w:val="bottom"/>
          </w:tcPr>
          <w:p>
            <w:pPr>
              <w:spacing w:after="0"/>
              <w:rPr>
                <w:sz w:val="20"/>
                <w:szCs w:val="20"/>
                <w:color w:val="auto"/>
              </w:rPr>
            </w:pPr>
          </w:p>
        </w:tc>
      </w:tr>
    </w:tbl>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5"/>
        </w:trPr>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24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IXHL</w:t>
            </w:r>
          </w:p>
        </w:tc>
        <w:tc>
          <w:tcPr>
            <w:tcW w:w="220" w:type="dxa"/>
            <w:vAlign w:val="bottom"/>
            <w:tcBorders>
              <w:top w:val="single" w:sz="8" w:color="CCEEFF"/>
            </w:tcBorders>
            <w:shd w:val="clear" w:color="auto" w:fill="CCEEFF"/>
          </w:tcPr>
          <w:p>
            <w:pPr>
              <w:spacing w:after="0"/>
              <w:rPr>
                <w:sz w:val="18"/>
                <w:szCs w:val="18"/>
                <w:color w:val="auto"/>
              </w:rPr>
            </w:pPr>
          </w:p>
        </w:tc>
        <w:tc>
          <w:tcPr>
            <w:tcW w:w="3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18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5" w:lineRule="exact"/>
        <w:rPr>
          <w:sz w:val="24"/>
          <w:szCs w:val="24"/>
          <w:color w:val="auto"/>
        </w:rPr>
      </w:pPr>
    </w:p>
    <w:p>
      <w:pPr>
        <w:ind w:right="320"/>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100"/>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340"/>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6"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920" w:type="dxa"/>
            <w:vAlign w:val="bottom"/>
          </w:tcPr>
          <w:p>
            <w:pPr>
              <w:ind w:left="156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Accelerated filer</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5"/>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920" w:type="dxa"/>
            <w:vAlign w:val="bottom"/>
          </w:tcPr>
          <w:p>
            <w:pPr>
              <w:ind w:left="156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700" w:type="dxa"/>
            <w:vAlign w:val="bottom"/>
          </w:tcPr>
          <w:p>
            <w:pPr>
              <w:ind w:left="1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1920" w:type="dxa"/>
            <w:vAlign w:val="bottom"/>
          </w:tcPr>
          <w:p>
            <w:pPr>
              <w:ind w:left="156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spacing w:after="0"/>
              <w:rPr>
                <w:sz w:val="24"/>
                <w:szCs w:val="24"/>
                <w:color w:val="auto"/>
              </w:rPr>
            </w:pPr>
          </w:p>
        </w:tc>
        <w:tc>
          <w:tcPr>
            <w:tcW w:w="1700" w:type="dxa"/>
            <w:vAlign w:val="bottom"/>
          </w:tcPr>
          <w:p>
            <w:pPr>
              <w:spacing w:after="0"/>
              <w:rPr>
                <w:sz w:val="24"/>
                <w:szCs w:val="24"/>
                <w:color w:val="auto"/>
              </w:rPr>
            </w:pPr>
          </w:p>
        </w:tc>
      </w:tr>
    </w:tbl>
    <w:p>
      <w:pPr>
        <w:spacing w:after="0" w:line="164" w:lineRule="exact"/>
        <w:rPr>
          <w:sz w:val="24"/>
          <w:szCs w:val="24"/>
          <w:color w:val="auto"/>
        </w:rPr>
      </w:pPr>
    </w:p>
    <w:p>
      <w:pPr>
        <w:ind w:right="2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ind w:right="60"/>
        <w:spacing w:after="0" w:line="23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4"/>
          <w:szCs w:val="24"/>
          <w:color w:val="auto"/>
        </w:rPr>
      </w:pPr>
    </w:p>
    <w:p>
      <w:pPr>
        <w:ind w:right="340"/>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4"/>
          <w:szCs w:val="24"/>
          <w:color w:val="auto"/>
        </w:rPr>
      </w:pPr>
    </w:p>
    <w:p>
      <w:pPr>
        <w:ind w:right="1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ectPr>
          <w:pgSz w:w="11900" w:h="16838" w:orient="portrait"/>
          <w:cols w:equalWidth="0" w:num="1">
            <w:col w:w="11240"/>
          </w:cols>
          <w:pgMar w:left="320" w:top="499" w:right="339" w:bottom="0" w:gutter="0" w:footer="0" w:header="0"/>
        </w:sectPr>
      </w:pPr>
    </w:p>
    <w:bookmarkStart w:id="1" w:name="page2"/>
    <w:bookmarkEnd w:id="1"/>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The aggregate market value of the registrant’s voting and non-voting stock held by non-affiliates of the registrant (without admitting that any person whose shares are not included in such calculation is an affiliate) computed by reference to the closing price of $4.64 of the common stock on the Nasdaq Global Market as of December 29, 2023, was approximately $64.0 million. The calculation of the aggregate market value of the voting and non-voting common equity held by non-affiliates of the registrant excludes shares of common stock held by each officer, director and stockholder that the registrant concluded were affiliates on that date. This determination of affiliate status is not necessarily a conclusive determination for other purposes.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August 30, 2024, there were 17,642,832 shares of the registrant’s common stock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132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95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95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607060</wp:posOffset>
            </wp:positionV>
            <wp:extent cx="71329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160"/>
          </w:cols>
          <w:pgMar w:left="320" w:top="81" w:right="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720" w:type="dxa"/>
            <w:vAlign w:val="bottom"/>
            <w:gridSpan w:val="11"/>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r>
      <w:tr>
        <w:trPr>
          <w:trHeight w:val="438"/>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5"/>
        </w:trPr>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5"/>
        </w:trPr>
        <w:tc>
          <w:tcPr>
            <w:tcW w:w="1024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5"/>
        </w:trPr>
        <w:tc>
          <w:tcPr>
            <w:tcW w:w="540" w:type="dxa"/>
            <w:vAlign w:val="bottom"/>
            <w:tcBorders>
              <w:top w:val="single" w:sz="8" w:color="0000EE"/>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9200" w:type="dxa"/>
            <w:vAlign w:val="bottom"/>
            <w:tcBorders>
              <w:top w:val="single" w:sz="8" w:color="CCEEFF"/>
            </w:tcBorders>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Item 1. Business</w:t>
            </w: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5"/>
        </w:trPr>
        <w:tc>
          <w:tcPr>
            <w:tcW w:w="5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Item 1A. Risk Factors</w:t>
            </w:r>
          </w:p>
        </w:tc>
        <w:tc>
          <w:tcPr>
            <w:tcW w:w="7620" w:type="dxa"/>
            <w:vAlign w:val="bottom"/>
            <w:tcBorders>
              <w:bottom w:val="single" w:sz="8" w:color="CCEEFF"/>
            </w:tcBorders>
            <w:gridSpan w:val="20"/>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175"/>
        </w:trPr>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Item 1B. Unresolved Staff Comments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75</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5"/>
        </w:trPr>
        <w:tc>
          <w:tcPr>
            <w:tcW w:w="5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68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Item 1C. Cybersecurity</w:t>
            </w:r>
          </w:p>
        </w:tc>
        <w:tc>
          <w:tcPr>
            <w:tcW w:w="7520" w:type="dxa"/>
            <w:vAlign w:val="bottom"/>
            <w:tcBorders>
              <w:bottom w:val="single" w:sz="8" w:color="CCEEFF"/>
            </w:tcBorders>
            <w:gridSpan w:val="19"/>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76</w:t>
            </w:r>
          </w:p>
        </w:tc>
      </w:tr>
      <w:tr>
        <w:trPr>
          <w:trHeight w:val="175"/>
        </w:trPr>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Item 2. Properties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77</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5"/>
        </w:trPr>
        <w:tc>
          <w:tcPr>
            <w:tcW w:w="5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88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Item 3. Legal Proceedings</w:t>
            </w:r>
          </w:p>
        </w:tc>
        <w:tc>
          <w:tcPr>
            <w:tcW w:w="7320" w:type="dxa"/>
            <w:vAlign w:val="bottom"/>
            <w:tcBorders>
              <w:bottom w:val="single" w:sz="8" w:color="CCEEFF"/>
            </w:tcBorders>
            <w:gridSpan w:val="18"/>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77</w:t>
            </w:r>
          </w:p>
        </w:tc>
      </w:tr>
      <w:tr>
        <w:trPr>
          <w:trHeight w:val="175"/>
        </w:trPr>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Item 4. Mine Safety Disclosures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77</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5"/>
        </w:trPr>
        <w:tc>
          <w:tcPr>
            <w:tcW w:w="1024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78</w:t>
            </w:r>
          </w:p>
        </w:tc>
      </w:tr>
      <w:tr>
        <w:trPr>
          <w:trHeight w:val="175"/>
        </w:trPr>
        <w:tc>
          <w:tcPr>
            <w:tcW w:w="5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9200" w:type="dxa"/>
            <w:vAlign w:val="bottom"/>
            <w:tcBorders>
              <w:top w:val="single" w:sz="8" w:color="CCEEFF"/>
            </w:tcBorders>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Item 5. Market for Registrant’s Common Equity, Related Stockholder Matters and Issuer Purchases of Equity Securities</w:t>
            </w: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78</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5"/>
        </w:trPr>
        <w:tc>
          <w:tcPr>
            <w:tcW w:w="5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Item 6. [Reserved]</w:t>
            </w:r>
          </w:p>
        </w:tc>
        <w:tc>
          <w:tcPr>
            <w:tcW w:w="7860" w:type="dxa"/>
            <w:vAlign w:val="bottom"/>
            <w:tcBorders>
              <w:bottom w:val="single" w:sz="8" w:color="CCEEFF"/>
            </w:tcBorders>
            <w:gridSpan w:val="21"/>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78</w:t>
            </w:r>
          </w:p>
        </w:tc>
      </w:tr>
      <w:tr>
        <w:trPr>
          <w:trHeight w:val="175"/>
        </w:trPr>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Item 7. Management’s Discussion and Analysis of Financial Condition and Results of Operations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79</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5"/>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7A. Quantitative and Qualitative Disclosures About Market Risk</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86</w:t>
            </w:r>
          </w:p>
        </w:tc>
      </w:tr>
      <w:tr>
        <w:trPr>
          <w:trHeight w:val="175"/>
        </w:trPr>
        <w:tc>
          <w:tcPr>
            <w:tcW w:w="5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5020" w:type="dxa"/>
            <w:vAlign w:val="bottom"/>
            <w:tcBorders>
              <w:top w:val="single" w:sz="8" w:color="0000EE"/>
            </w:tcBorders>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Item 8. Financial Statements and Supplementary Data</w:t>
            </w:r>
          </w:p>
        </w:tc>
        <w:tc>
          <w:tcPr>
            <w:tcW w:w="4180" w:type="dxa"/>
            <w:vAlign w:val="bottom"/>
            <w:tcBorders>
              <w:top w:val="single" w:sz="8" w:color="CCEEFF"/>
            </w:tcBorders>
            <w:gridSpan w:val="7"/>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F-1</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5"/>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9. Changes in and Disagreements with Accountants on Accounting and Financial Disclosure</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87</w:t>
            </w:r>
          </w:p>
        </w:tc>
      </w:tr>
      <w:tr>
        <w:trPr>
          <w:trHeight w:val="175"/>
        </w:trPr>
        <w:tc>
          <w:tcPr>
            <w:tcW w:w="54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7000" w:type="dxa"/>
            <w:vAlign w:val="bottom"/>
            <w:tcBorders>
              <w:top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Item 9A. Controls and Procedures</w:t>
            </w:r>
          </w:p>
        </w:tc>
        <w:tc>
          <w:tcPr>
            <w:tcW w:w="2200" w:type="dxa"/>
            <w:vAlign w:val="bottom"/>
            <w:tcBorders>
              <w:top w:val="single" w:sz="8" w:color="CCEEFF"/>
            </w:tcBorders>
            <w:gridSpan w:val="3"/>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87</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5"/>
        </w:trPr>
        <w:tc>
          <w:tcPr>
            <w:tcW w:w="5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98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Item 9B. Other Information</w:t>
            </w:r>
          </w:p>
        </w:tc>
        <w:tc>
          <w:tcPr>
            <w:tcW w:w="7220" w:type="dxa"/>
            <w:vAlign w:val="bottom"/>
            <w:tcBorders>
              <w:bottom w:val="single" w:sz="8" w:color="CCEEFF"/>
            </w:tcBorders>
            <w:gridSpan w:val="17"/>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88</w:t>
            </w:r>
          </w:p>
        </w:tc>
      </w:tr>
      <w:tr>
        <w:trPr>
          <w:trHeight w:val="175"/>
        </w:trPr>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Item 9C. Disclosure Regarding Foreign Jurisdictions that Prevent Inspections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88</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5"/>
        </w:trPr>
        <w:tc>
          <w:tcPr>
            <w:tcW w:w="1024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III</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89</w:t>
            </w:r>
          </w:p>
        </w:tc>
      </w:tr>
      <w:tr>
        <w:trPr>
          <w:trHeight w:val="175"/>
        </w:trPr>
        <w:tc>
          <w:tcPr>
            <w:tcW w:w="5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9200" w:type="dxa"/>
            <w:vAlign w:val="bottom"/>
            <w:tcBorders>
              <w:top w:val="single" w:sz="8" w:color="CCEEFF"/>
            </w:tcBorders>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Item 10. Directors, Executive Officers and Corporate Governance</w:t>
            </w: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89</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75"/>
        </w:trPr>
        <w:tc>
          <w:tcPr>
            <w:tcW w:w="5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11. Executive Compensation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92</w:t>
            </w: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Item 12. Security Ownership of Certain Beneficial Owners and Management and Related Stockholder Matters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97</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5"/>
        </w:trPr>
        <w:tc>
          <w:tcPr>
            <w:tcW w:w="5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608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Item 13. Certain Relationships and Related Transactions, and Director Independence</w:t>
            </w:r>
          </w:p>
        </w:tc>
        <w:tc>
          <w:tcPr>
            <w:tcW w:w="3120" w:type="dxa"/>
            <w:vAlign w:val="bottom"/>
            <w:tcBorders>
              <w:bottom w:val="single" w:sz="8" w:color="CCEEFF"/>
            </w:tcBorders>
            <w:gridSpan w:val="5"/>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101</w:t>
            </w:r>
          </w:p>
        </w:tc>
      </w:tr>
      <w:tr>
        <w:trPr>
          <w:trHeight w:val="175"/>
        </w:trPr>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Item 14. Principal Accountant Fees and Services</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103</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5"/>
        </w:trPr>
        <w:tc>
          <w:tcPr>
            <w:tcW w:w="10240" w:type="dxa"/>
            <w:vAlign w:val="bottom"/>
            <w:gridSpan w:val="3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IV</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104</w:t>
            </w:r>
          </w:p>
        </w:tc>
      </w:tr>
      <w:tr>
        <w:trPr>
          <w:trHeight w:val="175"/>
        </w:trPr>
        <w:tc>
          <w:tcPr>
            <w:tcW w:w="5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9200" w:type="dxa"/>
            <w:vAlign w:val="bottom"/>
            <w:tcBorders>
              <w:top w:val="single" w:sz="8" w:color="CCEEFF"/>
            </w:tcBorders>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Item 15. Exhibits and Financial Statement Schedules</w:t>
            </w: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104</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5"/>
        </w:trPr>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 Form 10-K Summary</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105</w:t>
            </w:r>
          </w:p>
        </w:tc>
      </w:tr>
      <w:tr>
        <w:trPr>
          <w:trHeight w:val="175"/>
        </w:trPr>
        <w:tc>
          <w:tcPr>
            <w:tcW w:w="1040" w:type="dxa"/>
            <w:vAlign w:val="bottom"/>
            <w:tcBorders>
              <w:top w:val="single" w:sz="8" w:color="CCEEFF"/>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2180" w:type="dxa"/>
            <w:vAlign w:val="bottom"/>
            <w:tcBorders>
              <w:top w:val="single" w:sz="8" w:color="0000EE"/>
            </w:tcBorders>
            <w:gridSpan w:val="8"/>
          </w:tcPr>
          <w:p>
            <w:pPr>
              <w:spacing w:after="0"/>
              <w:rPr>
                <w:sz w:val="15"/>
                <w:szCs w:val="15"/>
                <w:color w:val="auto"/>
              </w:rPr>
            </w:pPr>
          </w:p>
        </w:tc>
        <w:tc>
          <w:tcPr>
            <w:tcW w:w="7020" w:type="dxa"/>
            <w:vAlign w:val="bottom"/>
            <w:tcBorders>
              <w:top w:val="single" w:sz="8" w:color="CCEEFF"/>
            </w:tcBorders>
            <w:gridSpan w:val="16"/>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106</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3" w:name="page4"/>
    <w:bookmarkEnd w:id="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8" w:lineRule="exact"/>
        <w:rPr>
          <w:sz w:val="20"/>
          <w:szCs w:val="20"/>
          <w:color w:val="auto"/>
        </w:rPr>
      </w:pPr>
    </w:p>
    <w:p>
      <w:pPr>
        <w:ind w:right="80" w:firstLine="646"/>
        <w:spacing w:after="0" w:line="275" w:lineRule="auto"/>
        <w:rPr>
          <w:sz w:val="20"/>
          <w:szCs w:val="20"/>
          <w:color w:val="auto"/>
        </w:rPr>
      </w:pPr>
      <w:r>
        <w:rPr>
          <w:rFonts w:ascii="Times New Roman" w:cs="Times New Roman" w:eastAsia="Times New Roman" w:hAnsi="Times New Roman"/>
          <w:sz w:val="17"/>
          <w:szCs w:val="17"/>
          <w:color w:val="auto"/>
        </w:rPr>
        <w:t>We own or have rights to trademarks and trade names that we use in connection with the operation of our business, including our corporate name, logos, product names and website names. Solely for your convenience, some of the trademarks and trade names referred to in this annual report on Form</w:t>
      </w:r>
    </w:p>
    <w:p>
      <w:pPr>
        <w:spacing w:after="0" w:line="1" w:lineRule="exact"/>
        <w:rPr>
          <w:sz w:val="20"/>
          <w:szCs w:val="20"/>
          <w:color w:val="auto"/>
        </w:rPr>
      </w:pPr>
    </w:p>
    <w:p>
      <w:pPr>
        <w:ind w:right="420"/>
        <w:spacing w:after="0" w:line="209" w:lineRule="auto"/>
        <w:rPr>
          <w:sz w:val="20"/>
          <w:szCs w:val="20"/>
          <w:color w:val="auto"/>
        </w:rPr>
      </w:pPr>
      <w:r>
        <w:rPr>
          <w:rFonts w:ascii="Times New Roman" w:cs="Times New Roman" w:eastAsia="Times New Roman" w:hAnsi="Times New Roman"/>
          <w:sz w:val="18"/>
          <w:szCs w:val="18"/>
          <w:color w:val="auto"/>
        </w:rPr>
        <w:t xml:space="preserve">10-K for the fiscal year ended June 30, 2024 (“Annual Report”) are listed without the </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symbols, but we will assert, to the fullest extent under applicable law, our rights to our trademarks and trade names.</w:t>
      </w:r>
    </w:p>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Statistical and Other Industry and Market Data</w:t>
      </w:r>
    </w:p>
    <w:p>
      <w:pPr>
        <w:spacing w:after="0" w:line="228" w:lineRule="exact"/>
        <w:rPr>
          <w:sz w:val="20"/>
          <w:szCs w:val="20"/>
          <w:color w:val="auto"/>
        </w:rPr>
      </w:pPr>
    </w:p>
    <w:p>
      <w:pPr>
        <w:ind w:firstLine="646"/>
        <w:spacing w:after="0" w:line="260" w:lineRule="auto"/>
        <w:rPr>
          <w:sz w:val="20"/>
          <w:szCs w:val="20"/>
          <w:color w:val="auto"/>
        </w:rPr>
      </w:pPr>
      <w:r>
        <w:rPr>
          <w:rFonts w:ascii="Times New Roman" w:cs="Times New Roman" w:eastAsia="Times New Roman" w:hAnsi="Times New Roman"/>
          <w:sz w:val="18"/>
          <w:szCs w:val="18"/>
          <w:color w:val="auto"/>
        </w:rPr>
        <w:t>This Annual Report includes statistical and other industry and market data and contains estimates and information concerning our industry and our business, including estimated market size and projected growth rates of the markets for our drug candidates. Unless otherwise expressly stated, we obtained this industry, business, market, medical and other information from reports, research surveys, studies and similar data prepared by third parties, industry, medical and general publications, government data and similar sources.</w:t>
      </w:r>
    </w:p>
    <w:p>
      <w:pPr>
        <w:spacing w:after="0" w:line="181" w:lineRule="exact"/>
        <w:rPr>
          <w:sz w:val="20"/>
          <w:szCs w:val="20"/>
          <w:color w:val="auto"/>
        </w:rPr>
      </w:pPr>
    </w:p>
    <w:p>
      <w:pPr>
        <w:ind w:right="60" w:firstLine="646"/>
        <w:spacing w:after="0" w:line="256" w:lineRule="auto"/>
        <w:rPr>
          <w:sz w:val="20"/>
          <w:szCs w:val="20"/>
          <w:color w:val="auto"/>
        </w:rPr>
      </w:pPr>
      <w:r>
        <w:rPr>
          <w:rFonts w:ascii="Times New Roman" w:cs="Times New Roman" w:eastAsia="Times New Roman" w:hAnsi="Times New Roman"/>
          <w:sz w:val="18"/>
          <w:szCs w:val="18"/>
          <w:color w:val="auto"/>
        </w:rPr>
        <w:t>This information involves a number of assumptions and limitations. Although we are responsible for all of the disclosure contained in this Annual Report and we believe the third-party market position, market opportunity and market size data included in this Annual Report are reliable, we have not independently verified the accuracy or completeness of this third-party data. In addition, projections, assumptions and estimates of our future performance and the future performance of the industry in which we operate are necessarily subject to a high degree of uncertainty and risk due to a variety of factors, including those described in “Risk Factors.” These and other factors could cause results to differ materially from those expressed in these publications and reports.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8" w:lineRule="exact"/>
        <w:rPr>
          <w:sz w:val="20"/>
          <w:szCs w:val="20"/>
          <w:color w:val="auto"/>
        </w:rPr>
      </w:pPr>
    </w:p>
    <w:p>
      <w:pPr>
        <w:ind w:right="60" w:firstLine="646"/>
        <w:spacing w:after="0" w:line="255" w:lineRule="auto"/>
        <w:rPr>
          <w:sz w:val="20"/>
          <w:szCs w:val="20"/>
          <w:color w:val="auto"/>
        </w:rPr>
      </w:pPr>
      <w:r>
        <w:rPr>
          <w:rFonts w:ascii="Times New Roman" w:cs="Times New Roman" w:eastAsia="Times New Roman" w:hAnsi="Times New Roman"/>
          <w:sz w:val="18"/>
          <w:szCs w:val="18"/>
          <w:color w:val="auto"/>
        </w:rPr>
        <w:t>This Annual Report contains forward-looking statements within the meaning of Section 27A of the Securities Act of 1933, as amended (the “Securities Act’), and Section 21E of the Securities Exchange Act of 1934, as amended, (the “Exchange Act”) adopted pursuant to the Private Securities Litigation Reform Act of 1995. All statements other than statements of historical facts contained in this Annual Report, including statements regarding our future results of operations,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w:t>
      </w:r>
    </w:p>
    <w:p>
      <w:pPr>
        <w:spacing w:after="0" w:line="184" w:lineRule="exact"/>
        <w:rPr>
          <w:sz w:val="20"/>
          <w:szCs w:val="20"/>
          <w:color w:val="auto"/>
        </w:rPr>
      </w:pPr>
    </w:p>
    <w:p>
      <w:pPr>
        <w:ind w:firstLine="646"/>
        <w:spacing w:after="0" w:line="260"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known and unknown risks, uncertainties, other factors and assumptions, including the risks described in “Risk Factors” and elsewhere in this Annual Report, regarding, among other things:</w:t>
      </w:r>
    </w:p>
    <w:p>
      <w:pPr>
        <w:spacing w:after="0" w:line="181" w:lineRule="exact"/>
        <w:rPr>
          <w:sz w:val="20"/>
          <w:szCs w:val="20"/>
          <w:color w:val="auto"/>
        </w:rPr>
      </w:pPr>
    </w:p>
    <w:p>
      <w:pPr>
        <w:ind w:left="980" w:right="140" w:hanging="326"/>
        <w:spacing w:after="0" w:line="281"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product development and business strategies, including our ability to continue to pursue development pathways and regulatory strategies for IHL-42X, PSX-001, and IHL-675A and any of our other drug candidates;</w:t>
      </w:r>
    </w:p>
    <w:p>
      <w:pPr>
        <w:spacing w:after="0" w:line="161"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regarding market size and related future growth rates;</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research and development (“R&amp;D”) activities, including clinical testing and manufacturing and the related costs and timing;</w:t>
      </w:r>
    </w:p>
    <w:p>
      <w:pPr>
        <w:spacing w:after="0" w:line="223" w:lineRule="exact"/>
        <w:rPr>
          <w:rFonts w:ascii="Times New Roman" w:cs="Times New Roman" w:eastAsia="Times New Roman" w:hAnsi="Times New Roman"/>
          <w:sz w:val="18"/>
          <w:szCs w:val="18"/>
          <w:color w:val="auto"/>
        </w:rPr>
      </w:pPr>
    </w:p>
    <w:p>
      <w:pPr>
        <w:ind w:left="980" w:right="160" w:hanging="326"/>
        <w:spacing w:after="0" w:line="281"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required to conduct additional clinical studies or trials for our drug candidates and the consequences resulting from the delay in obtaining necessary regulatory approvals;</w:t>
      </w:r>
    </w:p>
    <w:p>
      <w:pPr>
        <w:spacing w:after="0" w:line="161" w:lineRule="exact"/>
        <w:rPr>
          <w:rFonts w:ascii="Times New Roman" w:cs="Times New Roman" w:eastAsia="Times New Roman" w:hAnsi="Times New Roman"/>
          <w:sz w:val="18"/>
          <w:szCs w:val="18"/>
          <w:color w:val="auto"/>
        </w:rPr>
      </w:pPr>
    </w:p>
    <w:p>
      <w:pPr>
        <w:ind w:left="980" w:right="320" w:hanging="326"/>
        <w:spacing w:after="0" w:line="281"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scope or likelihood of regulatory filings and approvals and our ability to obtain and maintain regulatory approvals for our drug candidates for any indication;</w:t>
      </w:r>
    </w:p>
    <w:p>
      <w:pPr>
        <w:spacing w:after="0" w:line="161"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coverage and reimbursement of our drug candidates, if approved and commercialized;</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and clinical utility of our drug candidates;</w:t>
      </w:r>
    </w:p>
    <w:p>
      <w:pPr>
        <w:spacing w:after="0" w:line="223" w:lineRule="exact"/>
        <w:rPr>
          <w:rFonts w:ascii="Times New Roman" w:cs="Times New Roman" w:eastAsia="Times New Roman" w:hAnsi="Times New Roman"/>
          <w:sz w:val="18"/>
          <w:szCs w:val="18"/>
          <w:color w:val="auto"/>
        </w:rPr>
      </w:pPr>
    </w:p>
    <w:p>
      <w:pPr>
        <w:ind w:left="980" w:right="680" w:hanging="326"/>
        <w:spacing w:after="0" w:line="281"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around feedback from and discussions with regulators, regulatory development paths and with respect to Controlled Substances Act designation;</w:t>
      </w:r>
    </w:p>
    <w:p>
      <w:pPr>
        <w:spacing w:after="0" w:line="3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00"/>
          </w:cols>
          <w:pgMar w:left="320" w:top="871" w:right="379" w:bottom="1440" w:gutter="0" w:footer="0" w:header="0"/>
        </w:sectPr>
      </w:pPr>
    </w:p>
    <w:bookmarkStart w:id="4" w:name="page5"/>
    <w:bookmarkEnd w:id="4"/>
    <w:p>
      <w:pPr>
        <w:ind w:left="980" w:right="340" w:hanging="326"/>
        <w:spacing w:after="0" w:line="281"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effective patent rights and other intellectual property protection for our drug candidates, and to prevent competitors from using technologies we consider important to the successful development and commercialization of our drug candidates;</w:t>
      </w:r>
    </w:p>
    <w:p>
      <w:pPr>
        <w:spacing w:after="0" w:line="161" w:lineRule="exact"/>
        <w:rPr>
          <w:rFonts w:ascii="Times New Roman" w:cs="Times New Roman" w:eastAsia="Times New Roman" w:hAnsi="Times New Roman"/>
          <w:sz w:val="18"/>
          <w:szCs w:val="18"/>
          <w:color w:val="auto"/>
        </w:rPr>
      </w:pPr>
    </w:p>
    <w:p>
      <w:pPr>
        <w:ind w:left="980" w:right="60" w:hanging="326"/>
        <w:spacing w:after="0" w:line="281"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revenues, financial performance and capital requirements, including the length of time our capital resources will sustain our operations;</w:t>
      </w:r>
    </w:p>
    <w:p>
      <w:pPr>
        <w:spacing w:after="0" w:line="161"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drug candidates and to generate revenues;</w:t>
      </w:r>
    </w:p>
    <w:p>
      <w:pPr>
        <w:spacing w:after="0" w:line="224" w:lineRule="exact"/>
        <w:rPr>
          <w:rFonts w:ascii="Times New Roman" w:cs="Times New Roman" w:eastAsia="Times New Roman" w:hAnsi="Times New Roman"/>
          <w:sz w:val="18"/>
          <w:szCs w:val="18"/>
          <w:color w:val="auto"/>
        </w:rPr>
      </w:pPr>
    </w:p>
    <w:p>
      <w:pPr>
        <w:ind w:left="980" w:right="480" w:hanging="326"/>
        <w:spacing w:after="0" w:line="281"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including our ability to obtain the funding necessary to advance the development of our drug candidates and our ability to continue as a going concern;</w:t>
      </w:r>
    </w:p>
    <w:p>
      <w:pPr>
        <w:spacing w:after="0" w:line="161" w:lineRule="exact"/>
        <w:rPr>
          <w:rFonts w:ascii="Times New Roman" w:cs="Times New Roman" w:eastAsia="Times New Roman" w:hAnsi="Times New Roman"/>
          <w:sz w:val="18"/>
          <w:szCs w:val="18"/>
          <w:color w:val="auto"/>
        </w:rPr>
      </w:pPr>
    </w:p>
    <w:p>
      <w:pPr>
        <w:ind w:left="980" w:right="280" w:hanging="326"/>
        <w:spacing w:after="0" w:line="281"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provisions and requirements of our debt arrangements and to pay amounts owed, including any amounts that may be accelerated;</w:t>
      </w:r>
    </w:p>
    <w:p>
      <w:pPr>
        <w:spacing w:after="0" w:line="161"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attract qualified employees, directors, consultants and advisors;</w:t>
      </w:r>
    </w:p>
    <w:p>
      <w:pPr>
        <w:spacing w:after="0" w:line="224"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comply with applicable privacy laws and protect confidential information from security breaches;</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recent and potential future changes in healthcare policy could negatively impact our business and financial condition;</w:t>
      </w:r>
    </w:p>
    <w:p>
      <w:pPr>
        <w:spacing w:after="0" w:line="224" w:lineRule="exact"/>
        <w:rPr>
          <w:rFonts w:ascii="Times New Roman" w:cs="Times New Roman" w:eastAsia="Times New Roman" w:hAnsi="Times New Roman"/>
          <w:sz w:val="18"/>
          <w:szCs w:val="18"/>
          <w:color w:val="auto"/>
        </w:rPr>
      </w:pPr>
    </w:p>
    <w:p>
      <w:pPr>
        <w:ind w:left="980" w:right="280" w:hanging="326"/>
        <w:spacing w:after="0" w:line="281"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global economic and political developments, including existing regional conflicts, pandemics, natural disasters, and the indirect and/or long-term impact of inflation, will affect our business operations, clinical trials, or financial condition; and</w:t>
      </w:r>
    </w:p>
    <w:p>
      <w:pPr>
        <w:spacing w:after="0" w:line="161"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statement of assumptions underlying any of the foregoing.</w:t>
      </w:r>
    </w:p>
    <w:p>
      <w:pPr>
        <w:spacing w:after="0" w:line="224" w:lineRule="exact"/>
        <w:rPr>
          <w:sz w:val="20"/>
          <w:szCs w:val="20"/>
          <w:color w:val="auto"/>
        </w:rPr>
      </w:pPr>
    </w:p>
    <w:p>
      <w:pPr>
        <w:ind w:right="380" w:firstLine="646"/>
        <w:spacing w:after="0" w:line="281" w:lineRule="auto"/>
        <w:rPr>
          <w:sz w:val="20"/>
          <w:szCs w:val="20"/>
          <w:color w:val="auto"/>
        </w:rPr>
      </w:pPr>
      <w:r>
        <w:rPr>
          <w:rFonts w:ascii="Times New Roman" w:cs="Times New Roman" w:eastAsia="Times New Roman" w:hAnsi="Times New Roman"/>
          <w:sz w:val="18"/>
          <w:szCs w:val="18"/>
          <w:color w:val="auto"/>
        </w:rPr>
        <w:t>These risks are not exhaustive. Other sections of this Annual Report may include additional factors that could harm our business and financial performance.</w:t>
      </w:r>
    </w:p>
    <w:p>
      <w:pPr>
        <w:spacing w:after="0" w:line="162" w:lineRule="exact"/>
        <w:rPr>
          <w:sz w:val="20"/>
          <w:szCs w:val="20"/>
          <w:color w:val="auto"/>
        </w:rPr>
      </w:pPr>
    </w:p>
    <w:p>
      <w:pPr>
        <w:ind w:right="40" w:firstLine="646"/>
        <w:spacing w:after="0" w:line="255"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Annual Report primarily on our current expectations and projections about future events and trends that we believe may affect our business, financial condition and operating results. We undertake no obligation to update any forward-looking statements made in this Annual Report to reflect events or circumstances after the date of this Annual Report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84" w:lineRule="exact"/>
        <w:rPr>
          <w:sz w:val="20"/>
          <w:szCs w:val="20"/>
          <w:color w:val="auto"/>
        </w:rPr>
      </w:pPr>
    </w:p>
    <w:p>
      <w:pPr>
        <w:jc w:val="both"/>
        <w:ind w:firstLine="646"/>
        <w:spacing w:after="0" w:line="260"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Annual Report.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qualify all our forward-looking statements by these cautionary statements.</w:t>
      </w:r>
    </w:p>
    <w:p>
      <w:pPr>
        <w:spacing w:after="0" w:line="224" w:lineRule="exact"/>
        <w:rPr>
          <w:sz w:val="20"/>
          <w:szCs w:val="20"/>
          <w:color w:val="auto"/>
        </w:rPr>
      </w:pPr>
    </w:p>
    <w:p>
      <w:pPr>
        <w:ind w:right="160" w:firstLine="646"/>
        <w:spacing w:after="0" w:line="281" w:lineRule="auto"/>
        <w:rPr>
          <w:sz w:val="20"/>
          <w:szCs w:val="20"/>
          <w:color w:val="auto"/>
        </w:rPr>
      </w:pPr>
      <w:r>
        <w:rPr>
          <w:rFonts w:ascii="Times New Roman" w:cs="Times New Roman" w:eastAsia="Times New Roman" w:hAnsi="Times New Roman"/>
          <w:sz w:val="18"/>
          <w:szCs w:val="18"/>
          <w:color w:val="auto"/>
        </w:rPr>
        <w:t>As used in this Annual Report, unless otherwise stated or the context otherwise indicates, references to “Incannex,” the “Company,” “we,” “our,” “us” or similar terms refer to Incannex Healthcare Inc., and our wholly-owned subsidiaries.</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8" w:lineRule="exact"/>
        <w:rPr>
          <w:sz w:val="20"/>
          <w:szCs w:val="20"/>
          <w:color w:val="auto"/>
        </w:rPr>
      </w:pPr>
    </w:p>
    <w:p>
      <w:pPr>
        <w:ind w:right="80" w:firstLine="646"/>
        <w:spacing w:after="0" w:line="281" w:lineRule="auto"/>
        <w:rPr>
          <w:sz w:val="20"/>
          <w:szCs w:val="20"/>
          <w:color w:val="auto"/>
        </w:rPr>
      </w:pPr>
      <w:r>
        <w:rPr>
          <w:rFonts w:ascii="Times New Roman" w:cs="Times New Roman" w:eastAsia="Times New Roman" w:hAnsi="Times New Roman"/>
          <w:sz w:val="18"/>
          <w:szCs w:val="18"/>
          <w:color w:val="auto"/>
        </w:rPr>
        <w:t>We are a clinical-stage biopharmaceutical company dedicated to developing innovative medicines for patients living with serious chronic diseases and significant unmet needs. Our lead drug candidates are currently in Phase 2/3 and Phase 2 clinical development.</w:t>
      </w:r>
    </w:p>
    <w:p>
      <w:pPr>
        <w:spacing w:after="0" w:line="162" w:lineRule="exact"/>
        <w:rPr>
          <w:sz w:val="20"/>
          <w:szCs w:val="20"/>
          <w:color w:val="auto"/>
        </w:rPr>
      </w:pPr>
    </w:p>
    <w:p>
      <w:pPr>
        <w:ind w:right="180" w:firstLine="646"/>
        <w:spacing w:after="0" w:line="255" w:lineRule="auto"/>
        <w:rPr>
          <w:sz w:val="20"/>
          <w:szCs w:val="20"/>
          <w:color w:val="auto"/>
        </w:rPr>
      </w:pPr>
      <w:r>
        <w:rPr>
          <w:rFonts w:ascii="Times New Roman" w:cs="Times New Roman" w:eastAsia="Times New Roman" w:hAnsi="Times New Roman"/>
          <w:sz w:val="18"/>
          <w:szCs w:val="18"/>
          <w:color w:val="auto"/>
        </w:rPr>
        <w:t>IHL-42X, our drug candidate in a pivotal Phase 2/3 for the treatment of obstructive sleep apnea (“OSA”) is an oral fixed dose combination of dronabinol and acetazolamide designed to act synergistically, targeting two different physiological pathways associated with the intermittent hypoxia and hypercapnia that characterize OSA. In a proof-of-concept Australian Phase 2 clinical trial, we observed that IHL-42X reduced apnea hypopnea index (“AHI") and was well tolerated in OSA patients. The ongoing Phase 2/3 clinical trial further investigates the safety and efficacy of IHL-42X for the treatment of OSA. The Phase 2 portion is being conducted in the United States, and the expanded Phase 3 portion will include the United Kingdom and European Union. We expect to report top-line data from the Phase 2 portion this pivotal U.S. Phase 2/3 clinical trial in the first half of 2025 and to release top-line results from our pharmacokinetic and safety study in 2024.</w:t>
      </w:r>
    </w:p>
    <w:p>
      <w:pPr>
        <w:spacing w:after="0" w:line="184" w:lineRule="exact"/>
        <w:rPr>
          <w:sz w:val="20"/>
          <w:szCs w:val="20"/>
          <w:color w:val="auto"/>
        </w:rPr>
      </w:pPr>
    </w:p>
    <w:p>
      <w:pPr>
        <w:ind w:firstLine="646"/>
        <w:spacing w:after="0" w:line="256" w:lineRule="auto"/>
        <w:rPr>
          <w:sz w:val="20"/>
          <w:szCs w:val="20"/>
          <w:color w:val="auto"/>
        </w:rPr>
      </w:pPr>
      <w:r>
        <w:rPr>
          <w:rFonts w:ascii="Times New Roman" w:cs="Times New Roman" w:eastAsia="Times New Roman" w:hAnsi="Times New Roman"/>
          <w:sz w:val="18"/>
          <w:szCs w:val="18"/>
          <w:color w:val="auto"/>
        </w:rPr>
        <w:t>PSX-001, our drug candidate in Phase 2b clinical development, is an oral synthetic psilocybin treatment, administered in combination with psychological therapy for patients with moderate-to-severe generalized anxiety disorder (“GAD”). We completed a proof-of-concept clinical trial, known as PsiGAD1, in the top-line results of which we observed that the combination of synthetic psilocybin with psychotherapy significantly reduced anxiety scores and was well tolerated in GAD patients. We have received clearance of an Investigational New Drug (“IND”) application from the U.S. Food and Drug Administration (“FDA”) to conduct a Phase 2b clinical trial to further investigate the safety and efficacy of PSX-001 for treatment of GAD. We anticipate reporting full data results from PsiGAD1 in the first half of 2025.</w:t>
      </w:r>
    </w:p>
    <w:p>
      <w:pPr>
        <w:spacing w:after="0" w:line="184" w:lineRule="exact"/>
        <w:rPr>
          <w:sz w:val="20"/>
          <w:szCs w:val="20"/>
          <w:color w:val="auto"/>
        </w:rPr>
      </w:pPr>
    </w:p>
    <w:p>
      <w:pPr>
        <w:ind w:right="20" w:firstLine="646"/>
        <w:spacing w:after="0" w:line="256" w:lineRule="auto"/>
        <w:rPr>
          <w:sz w:val="20"/>
          <w:szCs w:val="20"/>
          <w:color w:val="auto"/>
        </w:rPr>
      </w:pPr>
      <w:r>
        <w:rPr>
          <w:rFonts w:ascii="Times New Roman" w:cs="Times New Roman" w:eastAsia="Times New Roman" w:hAnsi="Times New Roman"/>
          <w:sz w:val="18"/>
          <w:szCs w:val="18"/>
          <w:color w:val="auto"/>
        </w:rPr>
        <w:t>IHL-675A is our drug candidate in an ongoing Australian Phase 2 trial for the treatment of inflammatory conditions, with an initial focus on rheumatoid arthritis (“RA”). IHL-675A is an oral fixed dose combination of cannabidiol and hydroxychloroquine sulfate designed to target two different pathways, acting synergistically to alleviate inflammation. In our Phase 1 clinical trial, IHL-675A was observed to be well-tolerated and bioavailable. In preclinical studies, IHL-675A was observed to reduce inflammatory markers and disease scores across multiple animal inflammatory disease models and in vitro assays. The Phase 2 trial is investigating the safety and efficacy of IHL-675A in rheumatoid arthritis patients. We anticipate reporting top-line data from this Phase 2 trial in the second half of 2025.</w:t>
      </w:r>
    </w:p>
    <w:p>
      <w:pPr>
        <w:spacing w:after="0" w:line="184" w:lineRule="exact"/>
        <w:rPr>
          <w:sz w:val="20"/>
          <w:szCs w:val="20"/>
          <w:color w:val="auto"/>
        </w:rPr>
      </w:pPr>
    </w:p>
    <w:p>
      <w:pPr>
        <w:ind w:right="980" w:firstLine="646"/>
        <w:spacing w:after="0" w:line="281" w:lineRule="auto"/>
        <w:rPr>
          <w:sz w:val="20"/>
          <w:szCs w:val="20"/>
          <w:color w:val="auto"/>
        </w:rPr>
      </w:pPr>
      <w:r>
        <w:rPr>
          <w:rFonts w:ascii="Times New Roman" w:cs="Times New Roman" w:eastAsia="Times New Roman" w:hAnsi="Times New Roman"/>
          <w:sz w:val="18"/>
          <w:szCs w:val="18"/>
          <w:color w:val="auto"/>
        </w:rPr>
        <w:t>Each of these programs could offer a new approach to treat serious conditions that currently have limited, inadequate, or no approved pharmaceutical treatment options.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8" w:lineRule="exact"/>
        <w:rPr>
          <w:sz w:val="20"/>
          <w:szCs w:val="20"/>
          <w:color w:val="auto"/>
        </w:rPr>
      </w:pPr>
    </w:p>
    <w:p>
      <w:pPr>
        <w:ind w:right="40" w:firstLine="646"/>
        <w:spacing w:after="0" w:line="265" w:lineRule="auto"/>
        <w:rPr>
          <w:sz w:val="20"/>
          <w:szCs w:val="20"/>
          <w:color w:val="auto"/>
        </w:rPr>
      </w:pPr>
      <w:r>
        <w:rPr>
          <w:rFonts w:ascii="Times New Roman" w:cs="Times New Roman" w:eastAsia="Times New Roman" w:hAnsi="Times New Roman"/>
          <w:sz w:val="18"/>
          <w:szCs w:val="18"/>
          <w:color w:val="auto"/>
        </w:rPr>
        <w:t>Our mission is to advance novel therapies, leveraging evidence-based innovation, with the potential to transform the lives of people suffering from serious, chronic conditions and unmet medical needs. Our three lead programs were created internally and prioritized based on their potential to offer new therapeutic approaches and long-term patient benefits.</w:t>
      </w:r>
    </w:p>
    <w:p>
      <w:pPr>
        <w:spacing w:after="0" w:line="176" w:lineRule="exact"/>
        <w:rPr>
          <w:sz w:val="20"/>
          <w:szCs w:val="20"/>
          <w:color w:val="auto"/>
        </w:rPr>
      </w:pPr>
    </w:p>
    <w:p>
      <w:pPr>
        <w:ind w:right="60" w:firstLine="646"/>
        <w:spacing w:after="0" w:line="281" w:lineRule="auto"/>
        <w:rPr>
          <w:sz w:val="20"/>
          <w:szCs w:val="20"/>
          <w:color w:val="auto"/>
        </w:rPr>
      </w:pPr>
      <w:r>
        <w:rPr>
          <w:rFonts w:ascii="Times New Roman" w:cs="Times New Roman" w:eastAsia="Times New Roman" w:hAnsi="Times New Roman"/>
          <w:sz w:val="18"/>
          <w:szCs w:val="18"/>
          <w:color w:val="auto"/>
        </w:rPr>
        <w:t>We aim to maximize value to our shareholders and to provide important new treatment options to patients in need of new therapeutic options. Key elements of our strategy include:</w:t>
      </w:r>
    </w:p>
    <w:p>
      <w:pPr>
        <w:spacing w:after="0" w:line="158" w:lineRule="exact"/>
        <w:rPr>
          <w:sz w:val="20"/>
          <w:szCs w:val="20"/>
          <w:color w:val="auto"/>
        </w:rPr>
      </w:pPr>
    </w:p>
    <w:p>
      <w:pPr>
        <w:ind w:left="980" w:hanging="326"/>
        <w:spacing w:after="0" w:line="255"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 our novel investigational drug candidates through pivotal and registrational clinical development programs</w:t>
      </w:r>
      <w:r>
        <w:rPr>
          <w:rFonts w:ascii="Times New Roman" w:cs="Times New Roman" w:eastAsia="Times New Roman" w:hAnsi="Times New Roman"/>
          <w:sz w:val="18"/>
          <w:szCs w:val="18"/>
          <w:color w:val="auto"/>
        </w:rPr>
        <w:t>. We are pursuing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approval from the FDA through the submission of New Drug Applications (“NDAs”) for all our three lead drug candidates, which are currently in Phase 2/3 and Phase 2 development. We plan to seek market authorization in the United States for our drug candidates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U.S. approval, we plan to strategically seek market authorization in other major pharmaceutical markets, including the European Union, United Kingdom, Japan, Australia, and Canada. These regions represent significant opportunities due to their large healthcare systems, established regulatory frameworks, and high market demand for innovative therapies. By securing approvals in these key regions, we aim to maximize the global commercial potential of our drug candidates.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6" w:name="page7"/>
    <w:bookmarkEnd w:id="6"/>
    <w:p>
      <w:pPr>
        <w:ind w:left="980" w:right="120" w:hanging="326"/>
        <w:spacing w:after="0" w:line="255"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Seek streamlined regulatory pathway for our drug candidates</w:t>
      </w:r>
      <w:r>
        <w:rPr>
          <w:rFonts w:ascii="Times New Roman" w:cs="Times New Roman" w:eastAsia="Times New Roman" w:hAnsi="Times New Roman"/>
          <w:sz w:val="18"/>
          <w:szCs w:val="18"/>
          <w:color w:val="auto"/>
        </w:rPr>
        <w:t>. We and our consultants and advisors believe that each of our lead drug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candidates may be eligible to qualify for one or more FDA expedited review programs (e.g. breakthrough therapy designation, accelerated approval, priority review and/or Fast Track designation). Each of these programs target conditions that currently have limited, inadequate, or no approved pharmaceutical treatment options. FDA expedited review programs may facilitate the development and potentially expedite review of drugs to treat serious conditions and fill an unmet medical need. As appropriate, we will also pursue the FDA’s 505(b)(2) streamlined pathway, which allows for a more efficient approval process by utilizing existing data from approved products and established active ingredients.</w:t>
      </w:r>
    </w:p>
    <w:p>
      <w:pPr>
        <w:spacing w:after="0" w:line="184" w:lineRule="exact"/>
        <w:rPr>
          <w:rFonts w:ascii="Times New Roman" w:cs="Times New Roman" w:eastAsia="Times New Roman" w:hAnsi="Times New Roman"/>
          <w:sz w:val="18"/>
          <w:szCs w:val="18"/>
          <w:color w:val="auto"/>
        </w:rPr>
      </w:pPr>
    </w:p>
    <w:p>
      <w:pPr>
        <w:ind w:left="980" w:right="380" w:hanging="326"/>
        <w:spacing w:after="0" w:line="261"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Maintain a strong intellectual property portfolio</w:t>
      </w:r>
      <w:r>
        <w:rPr>
          <w:rFonts w:ascii="Times New Roman" w:cs="Times New Roman" w:eastAsia="Times New Roman" w:hAnsi="Times New Roman"/>
          <w:sz w:val="18"/>
          <w:szCs w:val="18"/>
          <w:color w:val="auto"/>
        </w:rPr>
        <w:t>. We believe we have developed a global intellectual property strategy to support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and ultimate global commercial objectives. We are monitoring the results of our R&amp;D programs to identify new intellectual property aligning with these objectives. We intend to take a global approach to our intellectual property strategy and to pursue patent protection in key global markets, including the United States, Europe, Japan and Israel.</w:t>
      </w:r>
    </w:p>
    <w:p>
      <w:pPr>
        <w:spacing w:after="0" w:line="177" w:lineRule="exact"/>
        <w:rPr>
          <w:rFonts w:ascii="Times New Roman" w:cs="Times New Roman" w:eastAsia="Times New Roman" w:hAnsi="Times New Roman"/>
          <w:sz w:val="18"/>
          <w:szCs w:val="18"/>
          <w:color w:val="auto"/>
        </w:rPr>
      </w:pPr>
    </w:p>
    <w:p>
      <w:pPr>
        <w:ind w:left="980" w:hanging="326"/>
        <w:spacing w:after="0" w:line="258"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Maximize the value of our pipeline and drug candidates</w:t>
      </w:r>
      <w:r>
        <w:rPr>
          <w:rFonts w:ascii="Times New Roman" w:cs="Times New Roman" w:eastAsia="Times New Roman" w:hAnsi="Times New Roman"/>
          <w:sz w:val="18"/>
          <w:szCs w:val="18"/>
          <w:color w:val="auto"/>
        </w:rPr>
        <w:t>. We are actively pursuing FDA registration for our lead drug candidates currently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development. Our approach focuses on advancing novel, scientifically validated therapies with strong clinical potential. Simultaneously, we will retain the flexibility to explore strategic partnerships, licensing agreements, and collaboration opportunities as they arise, with the objective of maximizing the value of our pipeline and approved drug candidates. These efforts are aligned with our commitment to delivering long-term value for our shareholders.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Lead Drug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979805</wp:posOffset>
            </wp:positionH>
            <wp:positionV relativeFrom="paragraph">
              <wp:posOffset>154940</wp:posOffset>
            </wp:positionV>
            <wp:extent cx="5148580" cy="27451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8580" cy="2745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00"/>
          </w:cols>
          <w:pgMar w:left="320" w:top="871" w:right="379" w:bottom="1440" w:gutter="0" w:footer="0" w:header="0"/>
        </w:sectPr>
      </w:pPr>
    </w:p>
    <w:bookmarkStart w:id="7" w:name="page8"/>
    <w:bookmarkEnd w:id="7"/>
    <w:p>
      <w:pPr>
        <w:ind w:right="60" w:firstLine="646"/>
        <w:spacing w:after="0" w:line="274" w:lineRule="auto"/>
        <w:rPr>
          <w:sz w:val="20"/>
          <w:szCs w:val="20"/>
          <w:color w:val="auto"/>
        </w:rPr>
      </w:pPr>
      <w:r>
        <w:rPr>
          <w:rFonts w:ascii="Times New Roman" w:cs="Times New Roman" w:eastAsia="Times New Roman" w:hAnsi="Times New Roman"/>
          <w:sz w:val="17"/>
          <w:szCs w:val="17"/>
          <w:color w:val="auto"/>
        </w:rPr>
        <w:t>The estimated addressable global market opportunity for OSA is approximately US$8.2 billion, with an estimated compound annual growth rate (“CAGR”) for the global market of OSA devices from 2024 to 2029 of 7.33%. Sales for the treatment of in GAD in the United States reached approximately US$21 billion in 2023. The rheumatoid arthritis market in the United States is growing rapidly with sales for rheumatoid arthritis treatments reaching US$25.37 billion in 2023. This market is expected to exceed US$31.58 billion by 2033. We believe that our leading drug candidate, IHL-675A, also has the potential for use in other anti-inflammatory conditions, such as inflammatory bowel disease and pulmonary inflammatory diseases like chronic obstructive pulmonary disease (“COPD”) and asthma. Sales for these other inflammatory conditions in the United States totaled US$3.6 billion in 2022.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Approach</w:t>
      </w:r>
    </w:p>
    <w:p>
      <w:pPr>
        <w:spacing w:after="0" w:line="228" w:lineRule="exact"/>
        <w:rPr>
          <w:sz w:val="20"/>
          <w:szCs w:val="20"/>
          <w:color w:val="auto"/>
        </w:rPr>
      </w:pPr>
    </w:p>
    <w:p>
      <w:pPr>
        <w:ind w:right="100" w:firstLine="646"/>
        <w:spacing w:after="0" w:line="260" w:lineRule="auto"/>
        <w:rPr>
          <w:sz w:val="20"/>
          <w:szCs w:val="20"/>
          <w:color w:val="auto"/>
        </w:rPr>
      </w:pPr>
      <w:r>
        <w:rPr>
          <w:rFonts w:ascii="Times New Roman" w:cs="Times New Roman" w:eastAsia="Times New Roman" w:hAnsi="Times New Roman"/>
          <w:sz w:val="18"/>
          <w:szCs w:val="18"/>
          <w:color w:val="auto"/>
        </w:rPr>
        <w:t>In our internal research and collaborative efforts with leading medical institutions in Australia, we identified significant untapped opportunities to pursue combination strategies targeting synthetic cannabinoid and psychedelics agents to develop innovative therapeutics that target unmet medical needs. The combination strategy allows for the reduction of dose from that required when the drugs are used as monotherapies, which in turn reduces the likelihood of unwanted side effects.</w:t>
      </w:r>
    </w:p>
    <w:p>
      <w:pPr>
        <w:spacing w:after="0" w:line="181" w:lineRule="exact"/>
        <w:rPr>
          <w:sz w:val="20"/>
          <w:szCs w:val="20"/>
          <w:color w:val="auto"/>
        </w:rPr>
      </w:pPr>
    </w:p>
    <w:p>
      <w:pPr>
        <w:ind w:right="40" w:firstLine="646"/>
        <w:spacing w:after="0" w:line="280" w:lineRule="auto"/>
        <w:rPr>
          <w:sz w:val="20"/>
          <w:szCs w:val="20"/>
          <w:color w:val="auto"/>
        </w:rPr>
      </w:pPr>
      <w:r>
        <w:rPr>
          <w:rFonts w:ascii="Times New Roman" w:cs="Times New Roman" w:eastAsia="Times New Roman" w:hAnsi="Times New Roman"/>
          <w:sz w:val="17"/>
          <w:szCs w:val="17"/>
          <w:color w:val="auto"/>
        </w:rPr>
        <w:t>In our IHL-42x and IHL-675A programs, we are developing oral fixed drug combinations where the two active agents target different components of the pathophysiology of the disease. Having two drugs with independent mechanisms of action increases the likelihood of the drugs having a synergistic effect on the disease, such that the effect of the two drugs in combination is greater than would be predicted based on their activity as monotherapies. We have generated clinical data supporting promising synergistic advantages in combining agents in our IHL-42x and IHL-675A programs.</w:t>
      </w:r>
    </w:p>
    <w:p>
      <w:pPr>
        <w:spacing w:after="0" w:line="165" w:lineRule="exact"/>
        <w:rPr>
          <w:sz w:val="20"/>
          <w:szCs w:val="20"/>
          <w:color w:val="auto"/>
        </w:rPr>
      </w:pPr>
    </w:p>
    <w:p>
      <w:pPr>
        <w:ind w:firstLine="646"/>
        <w:spacing w:after="0" w:line="260" w:lineRule="auto"/>
        <w:rPr>
          <w:sz w:val="20"/>
          <w:szCs w:val="20"/>
          <w:color w:val="auto"/>
        </w:rPr>
      </w:pPr>
      <w:r>
        <w:rPr>
          <w:rFonts w:ascii="Times New Roman" w:cs="Times New Roman" w:eastAsia="Times New Roman" w:hAnsi="Times New Roman"/>
          <w:sz w:val="18"/>
          <w:szCs w:val="18"/>
          <w:color w:val="auto"/>
        </w:rPr>
        <w:t>Our psilocybin treatment comprises administration of PSX-001 with psychological support from trained therapists. There is accumulating evidence that psilocybin may have beneficial effects on a number of mental health conditions. Furthermore, psilocybin in combination with psychological support is thought to optimize therapeutic outcomes and enhance safety. We believe the combination of synthetic psilocybin and psychotherapy has the potential to offer the greatest benefit to patients.</w:t>
      </w:r>
    </w:p>
    <w:p>
      <w:pPr>
        <w:spacing w:after="0" w:line="181" w:lineRule="exact"/>
        <w:rPr>
          <w:sz w:val="20"/>
          <w:szCs w:val="20"/>
          <w:color w:val="auto"/>
        </w:rPr>
      </w:pPr>
    </w:p>
    <w:p>
      <w:pPr>
        <w:ind w:right="100" w:firstLine="646"/>
        <w:spacing w:after="0" w:line="260" w:lineRule="auto"/>
        <w:rPr>
          <w:sz w:val="20"/>
          <w:szCs w:val="20"/>
          <w:color w:val="auto"/>
        </w:rPr>
      </w:pPr>
      <w:r>
        <w:rPr>
          <w:rFonts w:ascii="Times New Roman" w:cs="Times New Roman" w:eastAsia="Times New Roman" w:hAnsi="Times New Roman"/>
          <w:sz w:val="18"/>
          <w:szCs w:val="18"/>
          <w:color w:val="auto"/>
        </w:rPr>
        <w:t>The drug development and regulatory strategies underpinning our lead cannabinoid programs allow us to pursue the FDA’s 505(b)(2) pathway. A major potential advantage of this strategy is that the nonclinical toxicology data package that is normally required before testing new drugs in humans may already be established for our drug candidates. To the extent the FDA deems that there is sufficient preclinical evidence of safety and efficacy, this streamlined pathway could substantially reduce the time from drug concept to in-human clinical trials.</w:t>
      </w:r>
    </w:p>
    <w:p>
      <w:pPr>
        <w:spacing w:after="0" w:line="181" w:lineRule="exact"/>
        <w:rPr>
          <w:sz w:val="20"/>
          <w:szCs w:val="20"/>
          <w:color w:val="auto"/>
        </w:rPr>
      </w:pPr>
    </w:p>
    <w:p>
      <w:pPr>
        <w:ind w:right="220" w:firstLine="646"/>
        <w:spacing w:after="0" w:line="257" w:lineRule="auto"/>
        <w:rPr>
          <w:sz w:val="20"/>
          <w:szCs w:val="20"/>
          <w:color w:val="auto"/>
        </w:rPr>
      </w:pPr>
      <w:r>
        <w:rPr>
          <w:rFonts w:ascii="Times New Roman" w:cs="Times New Roman" w:eastAsia="Times New Roman" w:hAnsi="Times New Roman"/>
          <w:sz w:val="18"/>
          <w:szCs w:val="18"/>
          <w:color w:val="auto"/>
        </w:rPr>
        <w:t>Initial preclinical and clinical development of our lead drug candidates was completed for the most part in Australia, which allowed for efficient execution, improved economics, and access to the Australian government R&amp;D rebate program. With rigorous preclinical, bioavailability, early clinical safety and efficacy work conducted in Australia, we believe we are well-positioned to file the third of our U.S. Investigational New Drug (“IND”) applications with the FDA. We may at times choose to conduct certain smaller studies in Australia, based on economics and speed, to generate data that further supports our INDs.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IHL-42X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979805</wp:posOffset>
            </wp:positionH>
            <wp:positionV relativeFrom="paragraph">
              <wp:posOffset>156210</wp:posOffset>
            </wp:positionV>
            <wp:extent cx="5148580" cy="14795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8580" cy="1479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Obstructive Sleep Apnea or “OSA”</w:t>
      </w:r>
    </w:p>
    <w:p>
      <w:pPr>
        <w:spacing w:after="0" w:line="226" w:lineRule="exact"/>
        <w:rPr>
          <w:sz w:val="20"/>
          <w:szCs w:val="20"/>
          <w:color w:val="auto"/>
        </w:rPr>
      </w:pPr>
    </w:p>
    <w:p>
      <w:pPr>
        <w:ind w:firstLine="646"/>
        <w:spacing w:after="0" w:line="256" w:lineRule="auto"/>
        <w:rPr>
          <w:sz w:val="20"/>
          <w:szCs w:val="20"/>
          <w:color w:val="auto"/>
        </w:rPr>
      </w:pPr>
      <w:r>
        <w:rPr>
          <w:rFonts w:ascii="Times New Roman" w:cs="Times New Roman" w:eastAsia="Times New Roman" w:hAnsi="Times New Roman"/>
          <w:sz w:val="18"/>
          <w:szCs w:val="18"/>
          <w:color w:val="auto"/>
        </w:rPr>
        <w:t>OSA is a disease of sleep disordered breathing characterized by a narrow or collapse of the upper airway during sleep, which interferes with breathing and reduces sleep quality. Presentation of OSA often includes snoring and waking up gasping for air. Though OSA is recognized as a relatively common and chronic disorder, it remains underdiagnosed and inadequately treated. Untreated OSA is associated with a wide range of serious long-term outcomes, including cardiovascular disease, cognitive impairments such as memory loss, poor concentration and judgment, depression and increased risk of death or injury due to traffic accidents resulting from excessive daytime sleepiness. The substantial patient and society costs related to undiagnosed and diagnosed obstructive OSA include increased healthcare usage, reduced productivity, and diminished quality of life.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8" w:name="page9"/>
    <w:bookmarkEnd w:id="8"/>
    <w:p>
      <w:pPr>
        <w:ind w:right="200" w:firstLine="646"/>
        <w:spacing w:after="0" w:line="258" w:lineRule="auto"/>
        <w:rPr>
          <w:sz w:val="20"/>
          <w:szCs w:val="20"/>
          <w:color w:val="auto"/>
        </w:rPr>
      </w:pPr>
      <w:r>
        <w:rPr>
          <w:rFonts w:ascii="Times New Roman" w:cs="Times New Roman" w:eastAsia="Times New Roman" w:hAnsi="Times New Roman"/>
          <w:sz w:val="18"/>
          <w:szCs w:val="18"/>
          <w:color w:val="auto"/>
        </w:rPr>
        <w:t xml:space="preserve">A 2019 article published by </w:t>
      </w:r>
      <w:r>
        <w:rPr>
          <w:rFonts w:ascii="Times New Roman" w:cs="Times New Roman" w:eastAsia="Times New Roman" w:hAnsi="Times New Roman"/>
          <w:sz w:val="18"/>
          <w:szCs w:val="18"/>
          <w:i w:val="1"/>
          <w:iCs w:val="1"/>
          <w:color w:val="auto"/>
        </w:rPr>
        <w:t>The Lancet</w:t>
      </w:r>
      <w:r>
        <w:rPr>
          <w:rFonts w:ascii="Times New Roman" w:cs="Times New Roman" w:eastAsia="Times New Roman" w:hAnsi="Times New Roman"/>
          <w:sz w:val="18"/>
          <w:szCs w:val="18"/>
          <w:color w:val="auto"/>
        </w:rPr>
        <w:t xml:space="preserve"> premised on literature-based analysis of 17 studies across 16 countries, estimated that OSA affects some 936 million adults worldwide. This alarming statistic is thought to be increasing due to the growing prevalence of obesity and an aging global population. Many people with OSA develop high blood pressure (hypertension), which can increase the risk of cardiovascular disease. Obstructive sleep apnea is considered a serious medical condition; the more severe the OSA, the greater the risk of coronary artery disease, heart attack, heart failure, stroke and shortened life span.</w:t>
      </w:r>
    </w:p>
    <w:p>
      <w:pPr>
        <w:spacing w:after="0" w:line="182" w:lineRule="exact"/>
        <w:rPr>
          <w:sz w:val="20"/>
          <w:szCs w:val="20"/>
          <w:color w:val="auto"/>
        </w:rPr>
      </w:pPr>
    </w:p>
    <w:p>
      <w:pPr>
        <w:ind w:firstLine="646"/>
        <w:spacing w:after="0" w:line="255" w:lineRule="auto"/>
        <w:rPr>
          <w:sz w:val="20"/>
          <w:szCs w:val="20"/>
          <w:color w:val="auto"/>
        </w:rPr>
      </w:pPr>
      <w:r>
        <w:rPr>
          <w:rFonts w:ascii="Times New Roman" w:cs="Times New Roman" w:eastAsia="Times New Roman" w:hAnsi="Times New Roman"/>
          <w:sz w:val="18"/>
          <w:szCs w:val="18"/>
          <w:color w:val="auto"/>
        </w:rPr>
        <w:t>There are no currently approved drugs for the treatment of OSA. Available treatment options include: the standard of care, positive airway pressure (“PAP”), including continuous positive airway pressure (“CPAP”), in which an external device pneumatically splints the airway open to prevent disruptions in breathing; oral appliances to advance the mandible or to retain the tongue, putting the mouth in a position more conducive to breathing; surgery to remove physical obstructions to airflow; and implantable electronic stimulators to activate muscles at the base of the tongue, opening the airway in synchrony with respiration. An estimated 50% of patients discontinue CPAP treatment within one year. Patient compliance to PAP devices is low due to discomfort and claustrophobia resulting from pressurized air being pumped into the patient’s nose and/or mouth via a mask or nasal pillow during sleep. These available treatment options, in many cases, are poorly tolerated, inadequate, expensive, and for implantable stimulators and surgery, invasive.</w:t>
      </w:r>
    </w:p>
    <w:p>
      <w:pPr>
        <w:spacing w:after="0" w:line="184" w:lineRule="exact"/>
        <w:rPr>
          <w:sz w:val="20"/>
          <w:szCs w:val="20"/>
          <w:color w:val="auto"/>
        </w:rPr>
      </w:pPr>
    </w:p>
    <w:p>
      <w:pPr>
        <w:ind w:right="140" w:firstLine="646"/>
        <w:spacing w:after="0" w:line="281" w:lineRule="auto"/>
        <w:rPr>
          <w:sz w:val="20"/>
          <w:szCs w:val="20"/>
          <w:color w:val="auto"/>
        </w:rPr>
      </w:pPr>
      <w:r>
        <w:rPr>
          <w:rFonts w:ascii="Times New Roman" w:cs="Times New Roman" w:eastAsia="Times New Roman" w:hAnsi="Times New Roman"/>
          <w:sz w:val="18"/>
          <w:szCs w:val="18"/>
          <w:color w:val="auto"/>
        </w:rPr>
        <w:t>Despite these discomforts, the global annual market for sleep apnea devices is over US$8.2 billion and growing. The estimated compound annual growth rate for the global market of OSA devices from 2024 to 2029 is 7.33%.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IHL-42X in OSA</w:t>
      </w:r>
    </w:p>
    <w:p>
      <w:pPr>
        <w:spacing w:after="0" w:line="226" w:lineRule="exact"/>
        <w:rPr>
          <w:sz w:val="20"/>
          <w:szCs w:val="20"/>
          <w:color w:val="auto"/>
        </w:rPr>
      </w:pPr>
    </w:p>
    <w:p>
      <w:pPr>
        <w:ind w:right="100" w:firstLine="646"/>
        <w:spacing w:after="0" w:line="256" w:lineRule="auto"/>
        <w:rPr>
          <w:sz w:val="20"/>
          <w:szCs w:val="20"/>
          <w:color w:val="auto"/>
        </w:rPr>
      </w:pPr>
      <w:r>
        <w:rPr>
          <w:rFonts w:ascii="Times New Roman" w:cs="Times New Roman" w:eastAsia="Times New Roman" w:hAnsi="Times New Roman"/>
          <w:sz w:val="18"/>
          <w:szCs w:val="18"/>
          <w:color w:val="auto"/>
        </w:rPr>
        <w:t>IHL-42X is an oral fixed dose combination of acetazolamide, a carbonic anhydrase inhibitor approved for various indications, and dronabinol, a synthetic form of delta-9-tetrahydrocannabinol (“THC”) approved for the treatment of nausea, vomiting and loss of appetite. Both agents have been shown in clinical studies to reduce the apnea hypopnea index (“AHI”). We believe that the activity of dronabinol on cannabinoid receptors causes dilation of the airway, and acetazolamide induces modest metabolic acidosis, signaling to the body that there is excess CO2 in the blood, thus increasing respiration. By combining two agents with mechanisms known to reduce AHI in one pharmaceutical formulation, we believe IHL-42X may have therapeutic benefit at lower doses of each constituent drug that are safe and tolerable.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Phase 2 Clinical Trial for IHL-42X for OSA</w:t>
      </w:r>
    </w:p>
    <w:p>
      <w:pPr>
        <w:spacing w:after="0" w:line="226" w:lineRule="exact"/>
        <w:rPr>
          <w:sz w:val="20"/>
          <w:szCs w:val="20"/>
          <w:color w:val="auto"/>
        </w:rPr>
      </w:pPr>
    </w:p>
    <w:p>
      <w:pPr>
        <w:ind w:right="780" w:firstLine="646"/>
        <w:spacing w:after="0" w:line="281" w:lineRule="auto"/>
        <w:rPr>
          <w:sz w:val="20"/>
          <w:szCs w:val="20"/>
          <w:color w:val="auto"/>
        </w:rPr>
      </w:pPr>
      <w:r>
        <w:rPr>
          <w:rFonts w:ascii="Times New Roman" w:cs="Times New Roman" w:eastAsia="Times New Roman" w:hAnsi="Times New Roman"/>
          <w:sz w:val="18"/>
          <w:szCs w:val="18"/>
          <w:color w:val="auto"/>
        </w:rPr>
        <w:t>We completed a Phase 2 clinical trial in Australia to investigate the safety and efficacy of IHL-42X for the treatment of OSA. This study established proof-of-concept, the combination reduced AHI in patients with OSA.</w:t>
      </w:r>
    </w:p>
    <w:p>
      <w:pPr>
        <w:spacing w:after="0" w:line="162" w:lineRule="exact"/>
        <w:rPr>
          <w:sz w:val="20"/>
          <w:szCs w:val="20"/>
          <w:color w:val="auto"/>
        </w:rPr>
      </w:pPr>
    </w:p>
    <w:p>
      <w:pPr>
        <w:ind w:right="120" w:firstLine="646"/>
        <w:spacing w:after="0" w:line="256" w:lineRule="auto"/>
        <w:rPr>
          <w:sz w:val="20"/>
          <w:szCs w:val="20"/>
          <w:color w:val="auto"/>
        </w:rPr>
      </w:pPr>
      <w:r>
        <w:rPr>
          <w:rFonts w:ascii="Times New Roman" w:cs="Times New Roman" w:eastAsia="Times New Roman" w:hAnsi="Times New Roman"/>
          <w:sz w:val="18"/>
          <w:szCs w:val="18"/>
          <w:color w:val="auto"/>
        </w:rPr>
        <w:t>The primary endpoint of this Australian Phase 2 clinical trial was the change in AHI relative to baseline, and the secondary endpoints included change in oxygen desaturation index (“ODI”), daytime somnolence measured by the Epworth Sleepiness Scale, improvement in mood as measured by the Profile of Moods State (“POMS”), and well-being as measured by the Short Form 36. Safety of the IHL-42X combination was assessed through adverse event (“AE”) monitoring. Participants completed a single-blind placebo treatment period followed by three double-blind IHL-42X treatment periods, each with a different dose strength of IHL-42X. Each treatment period was seven days with an overnight sleep study on night seven to determine AHI and other secondary endpoint data. Blood samples were collected the morning after the sleep study and analyzed for THC content.</w:t>
      </w:r>
    </w:p>
    <w:p>
      <w:pPr>
        <w:spacing w:after="0" w:line="184" w:lineRule="exact"/>
        <w:rPr>
          <w:sz w:val="20"/>
          <w:szCs w:val="20"/>
          <w:color w:val="auto"/>
        </w:rPr>
      </w:pPr>
    </w:p>
    <w:p>
      <w:pPr>
        <w:ind w:right="120" w:firstLine="646"/>
        <w:spacing w:after="0" w:line="257" w:lineRule="auto"/>
        <w:rPr>
          <w:sz w:val="20"/>
          <w:szCs w:val="20"/>
          <w:color w:val="auto"/>
        </w:rPr>
      </w:pPr>
      <w:r>
        <w:rPr>
          <w:rFonts w:ascii="Times New Roman" w:cs="Times New Roman" w:eastAsia="Times New Roman" w:hAnsi="Times New Roman"/>
          <w:sz w:val="18"/>
          <w:szCs w:val="18"/>
          <w:color w:val="auto"/>
        </w:rPr>
        <w:t>In the final analysis of data from this trial, IHL-42X was observed to reduce AHI at all three dose strengths (2.5 mg dronabinol + 125 mg acetazolamide, 5 mg dronabinol + 250 mg acetazolamide, and 10 mg dronabinol + 500 mg acetazolamide with the lowest dose (2.5 mg dronabinol + 125 mg acetazolamide )) observed to be the most effective, reducing AHI by an average of 50.7 % relative to baseline with 25% of subjects’ AHI reduced by &gt;80%. With low-dose IHL-42X, THC was cleared below the common threshold for impaired driving (1 ng/mL) by the morning after dosing. Subjects also reported improved sleep quality during IHL-42X treatment periods compared to placebo.</w:t>
      </w:r>
    </w:p>
    <w:p>
      <w:pPr>
        <w:spacing w:after="0" w:line="185" w:lineRule="exact"/>
        <w:rPr>
          <w:sz w:val="20"/>
          <w:szCs w:val="20"/>
          <w:color w:val="auto"/>
        </w:rPr>
      </w:pPr>
    </w:p>
    <w:p>
      <w:pPr>
        <w:ind w:right="140" w:firstLine="646"/>
        <w:spacing w:after="0" w:line="256" w:lineRule="auto"/>
        <w:rPr>
          <w:sz w:val="20"/>
          <w:szCs w:val="20"/>
          <w:color w:val="auto"/>
        </w:rPr>
      </w:pPr>
      <w:r>
        <w:rPr>
          <w:rFonts w:ascii="Times New Roman" w:cs="Times New Roman" w:eastAsia="Times New Roman" w:hAnsi="Times New Roman"/>
          <w:sz w:val="18"/>
          <w:szCs w:val="18"/>
          <w:color w:val="auto"/>
        </w:rPr>
        <w:t>IHL-42X was observed to be generally well-tolerated with no serious adverse events observed at any dosage level. Adverse events (“AEs”) were recorded from the time the subjects enrolled in the trial until their end-of-study visit. After recording treatment emergent adverse events (“TEAE”), the study team, including investigators and medical monitors, reviewed the TEAEs to determine whether they were likely related to the drug candidate. Of the 11 subjects studied, TEAEs deemed to be possibly, probably, or related to study treatment occurred at a higher incidence at the higher doses on dronabinol/acetazolamide (5 mg dronabinol plus 250 mg acetazolamide and 10 mg dronabinol plus 500 mg acetazolamide) compared to the low (2.5 mg dronabinol plus 125 mg acetazolamide) dose and placebo treatment periods.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 w:name="page10"/>
    <w:bookmarkEnd w:id="9"/>
    <w:p>
      <w:pPr>
        <w:ind w:right="40" w:firstLine="646"/>
        <w:spacing w:after="0" w:line="281" w:lineRule="auto"/>
        <w:rPr>
          <w:sz w:val="20"/>
          <w:szCs w:val="20"/>
          <w:color w:val="auto"/>
        </w:rPr>
      </w:pPr>
      <w:r>
        <w:rPr>
          <w:rFonts w:ascii="Times New Roman" w:cs="Times New Roman" w:eastAsia="Times New Roman" w:hAnsi="Times New Roman"/>
          <w:sz w:val="18"/>
          <w:szCs w:val="18"/>
          <w:color w:val="auto"/>
        </w:rPr>
        <w:t>Low dose IHL-42X had a similar proportion of subjects reporting TEAEs and a lower number of total TEAEs than the placebo. This indicated that low-dose IHL-42X was well-tolerated.</w:t>
      </w:r>
    </w:p>
    <w:p>
      <w:pPr>
        <w:spacing w:after="0" w:line="162" w:lineRule="exact"/>
        <w:rPr>
          <w:sz w:val="20"/>
          <w:szCs w:val="20"/>
          <w:color w:val="auto"/>
        </w:rPr>
      </w:pPr>
    </w:p>
    <w:p>
      <w:pPr>
        <w:ind w:right="20" w:firstLine="646"/>
        <w:spacing w:after="0" w:line="281" w:lineRule="auto"/>
        <w:rPr>
          <w:sz w:val="20"/>
          <w:szCs w:val="20"/>
          <w:color w:val="auto"/>
        </w:rPr>
      </w:pPr>
      <w:r>
        <w:rPr>
          <w:rFonts w:ascii="Times New Roman" w:cs="Times New Roman" w:eastAsia="Times New Roman" w:hAnsi="Times New Roman"/>
          <w:sz w:val="18"/>
          <w:szCs w:val="18"/>
          <w:color w:val="auto"/>
        </w:rPr>
        <w:t>This Phase 2 clinical trial both supported our FDA IND submission and informed the design of the ongoing FDA pivotal Phase 2/3 clinical trial (or the Re-POSA Study, as discussed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Formulation Development and Manufacturing of IHL-42X</w:t>
      </w:r>
    </w:p>
    <w:p>
      <w:pPr>
        <w:spacing w:after="0" w:line="226" w:lineRule="exact"/>
        <w:rPr>
          <w:sz w:val="20"/>
          <w:szCs w:val="20"/>
          <w:color w:val="auto"/>
        </w:rPr>
      </w:pPr>
    </w:p>
    <w:p>
      <w:pPr>
        <w:ind w:right="80" w:firstLine="646"/>
        <w:spacing w:after="0" w:line="281" w:lineRule="auto"/>
        <w:rPr>
          <w:sz w:val="20"/>
          <w:szCs w:val="20"/>
          <w:color w:val="auto"/>
        </w:rPr>
      </w:pPr>
      <w:r>
        <w:rPr>
          <w:rFonts w:ascii="Times New Roman" w:cs="Times New Roman" w:eastAsia="Times New Roman" w:hAnsi="Times New Roman"/>
          <w:sz w:val="18"/>
          <w:szCs w:val="18"/>
          <w:color w:val="auto"/>
        </w:rPr>
        <w:t>We engaged Procaps Group, S.A. (“Procaps”) for the manufacture of a specific oral fixed dose formulation of IHL-42X that is now being tested in our clinical trials.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Bioavailability/Bioequivalence Clinical Trial</w:t>
      </w:r>
    </w:p>
    <w:p>
      <w:pPr>
        <w:spacing w:after="0" w:line="226" w:lineRule="exact"/>
        <w:rPr>
          <w:sz w:val="20"/>
          <w:szCs w:val="20"/>
          <w:color w:val="auto"/>
        </w:rPr>
      </w:pPr>
    </w:p>
    <w:p>
      <w:pPr>
        <w:ind w:right="220" w:firstLine="646"/>
        <w:spacing w:after="0" w:line="274" w:lineRule="auto"/>
        <w:rPr>
          <w:sz w:val="20"/>
          <w:szCs w:val="20"/>
          <w:color w:val="auto"/>
        </w:rPr>
      </w:pPr>
      <w:r>
        <w:rPr>
          <w:rFonts w:ascii="Times New Roman" w:cs="Times New Roman" w:eastAsia="Times New Roman" w:hAnsi="Times New Roman"/>
          <w:sz w:val="17"/>
          <w:szCs w:val="17"/>
          <w:color w:val="auto"/>
        </w:rPr>
        <w:t>We are conducting a bioequivalence/bioavailability (“BA/BE”) clinical trial for IHL-42X. The BA/BE study focuses on assessing the PK and tolerability of IHL-42X’s active pharmaceutical ingredients (“APIs”), dronabinol (THC) and acetazolamide, in comparison to FDA reference listed drugs Marinol (dronabinol) and acetazolamide oral tablets, respectively, manufactured by Taro Pharmaceutical Industries. The study will also investigate the effect of food on IHL-42X tolerability and PK. The BA/BE study was designed to evaluate the concentrations of APIs and metabolites in blood samples over 48 hours. This study was designed to adhere to FDA recommendations for bioequivalence studies. We expect the outcomes of the BA/BE trial twill serve as a bridging mechanism to the reference listed drugs, potentially facilitating regulatory approval via the FDA 505(b)(2) regulatory pathway.</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completed dosing of 115 participants in the BA/BE study, and we expect to release top-line results in 2024.</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Phase 2/3 Clinical Trial Investigating IHL-42X in Patients with OSA (the “RePOSA Study”)</w:t>
      </w:r>
    </w:p>
    <w:p>
      <w:pPr>
        <w:spacing w:after="0" w:line="226" w:lineRule="exact"/>
        <w:rPr>
          <w:sz w:val="20"/>
          <w:szCs w:val="20"/>
          <w:color w:val="auto"/>
        </w:rPr>
      </w:pPr>
    </w:p>
    <w:p>
      <w:pPr>
        <w:jc w:val="both"/>
        <w:ind w:right="220" w:firstLine="646"/>
        <w:spacing w:after="0" w:line="265" w:lineRule="auto"/>
        <w:rPr>
          <w:sz w:val="20"/>
          <w:szCs w:val="20"/>
          <w:color w:val="auto"/>
        </w:rPr>
      </w:pPr>
      <w:r>
        <w:rPr>
          <w:rFonts w:ascii="Times New Roman" w:cs="Times New Roman" w:eastAsia="Times New Roman" w:hAnsi="Times New Roman"/>
          <w:sz w:val="18"/>
          <w:szCs w:val="18"/>
          <w:color w:val="auto"/>
        </w:rPr>
        <w:t>The RePOSA Study is a global, randomized, double-blind Phase 2/3 clinical trial, investigating the effect of IHL-42X in patients with OSA who are non-compliant, intolerant or naïve to positive airway pressure devices, such as CPAP, to determine the safety and efficacy of the drug candidate. The RePOSA study is being conducted in accordance with an IND cleared by the FDA.</w:t>
      </w:r>
    </w:p>
    <w:p>
      <w:pPr>
        <w:spacing w:after="0" w:line="176" w:lineRule="exact"/>
        <w:rPr>
          <w:sz w:val="20"/>
          <w:szCs w:val="20"/>
          <w:color w:val="auto"/>
        </w:rPr>
      </w:pPr>
    </w:p>
    <w:p>
      <w:pPr>
        <w:ind w:right="40" w:firstLine="646"/>
        <w:spacing w:after="0" w:line="253" w:lineRule="auto"/>
        <w:rPr>
          <w:sz w:val="20"/>
          <w:szCs w:val="20"/>
          <w:color w:val="auto"/>
        </w:rPr>
      </w:pPr>
      <w:r>
        <w:rPr>
          <w:rFonts w:ascii="Times New Roman" w:cs="Times New Roman" w:eastAsia="Times New Roman" w:hAnsi="Times New Roman"/>
          <w:sz w:val="18"/>
          <w:szCs w:val="18"/>
          <w:color w:val="auto"/>
        </w:rPr>
        <w:t>The primary endpoint of the RePOSA Study is a change in AHI as compared to baseline. Key secondary endpoints include a change in patient sleep quality, sleep related impairments and fatigue. Other secondary endpoints include a change in oxygen saturation index, hypoxic burden and sleepiness. Exploratory endpoints are change in sleep architecture, cognitive function, blood pressure and other biomarkers identified for those at risk for OSA. The RePOSA Study consists of two component studies, or phases: a Phase 2, four-week, dose ranging, three-arm (IHL-42X low dose (2.5 mg dronabinol + 125 mg acetazolamide), IHL-42X high dose (5 mg dronabinol + 250 mg acetazolamide) and placebo) trial designed to determine the optimal dose of IHL-42X based on safety and efficacy in OSA patients; and a Phase 3, 52-week, four-arm (IHL-42X, dronabinol, acetazolamide and placebo), factorial trial that will compare the optimal dose of IHL-42X to the component APIs, dronabinol and acetazolamide, at equivalent doses, as well as placebo. The endpoints, inclusion criteria and study procedures are similar across both component studies, which is designed to streamline the transition process from Phase 2 to Phase 3.</w:t>
      </w:r>
    </w:p>
    <w:p>
      <w:pPr>
        <w:spacing w:after="0" w:line="191" w:lineRule="exact"/>
        <w:rPr>
          <w:sz w:val="20"/>
          <w:szCs w:val="20"/>
          <w:color w:val="auto"/>
        </w:rPr>
      </w:pPr>
    </w:p>
    <w:p>
      <w:pPr>
        <w:ind w:firstLine="646"/>
        <w:spacing w:after="0" w:line="255" w:lineRule="auto"/>
        <w:rPr>
          <w:sz w:val="20"/>
          <w:szCs w:val="20"/>
          <w:color w:val="auto"/>
        </w:rPr>
      </w:pPr>
      <w:r>
        <w:rPr>
          <w:rFonts w:ascii="Times New Roman" w:cs="Times New Roman" w:eastAsia="Times New Roman" w:hAnsi="Times New Roman"/>
          <w:sz w:val="18"/>
          <w:szCs w:val="18"/>
          <w:color w:val="auto"/>
        </w:rPr>
        <w:t>The trial is expected to be conducted in as many as 55 sites. This is anticipated to include 25 sites in the United States, 16 in Germany, seven in Spain, two in Finland and five in the United Kingdom. The target patient population is individuals aged 18 years or older with OSA who are intolerant, non-compliant or naïve to positive airway pressure. We plan to recruit 560 subjects, with a total of 355 subjects receiving IHL-42X (patients in the dronabinol and acetazolamide arms will receive IHL-42X for part of the study) and 205 subjects receiving placebo over the course of the study. The first subject in the Phase 2 portion of the Re-POSA Study was dosed in May 2024. We anticipate reporting top-line data from the Phase 2 portion of the RePOSA Study in the first half of 2025. We expect to dose the first subject in the Phase 3 portion of the RePOSA Study in the first half of 2025 and to announce top-line Phase 3 data in the first half of 2027.</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Anxiety Disorder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979805</wp:posOffset>
            </wp:positionH>
            <wp:positionV relativeFrom="paragraph">
              <wp:posOffset>156210</wp:posOffset>
            </wp:positionV>
            <wp:extent cx="5148580" cy="1060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8580" cy="106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Generalized Anxiety Disorder or “GAD”</w:t>
      </w:r>
    </w:p>
    <w:p>
      <w:pPr>
        <w:spacing w:after="0" w:line="226" w:lineRule="exact"/>
        <w:rPr>
          <w:sz w:val="20"/>
          <w:szCs w:val="20"/>
          <w:color w:val="auto"/>
        </w:rPr>
      </w:pPr>
    </w:p>
    <w:p>
      <w:pPr>
        <w:ind w:right="60" w:firstLine="646"/>
        <w:spacing w:after="0" w:line="260" w:lineRule="auto"/>
        <w:rPr>
          <w:sz w:val="20"/>
          <w:szCs w:val="20"/>
          <w:color w:val="auto"/>
        </w:rPr>
      </w:pPr>
      <w:r>
        <w:rPr>
          <w:rFonts w:ascii="Times New Roman" w:cs="Times New Roman" w:eastAsia="Times New Roman" w:hAnsi="Times New Roman"/>
          <w:sz w:val="18"/>
          <w:szCs w:val="18"/>
          <w:color w:val="auto"/>
        </w:rPr>
        <w:t>GAD is a chronic, often debilitating mental health disorder that affects approximately 10% of U.S. adults in their lifetimes. Symptoms of GAD include excessive anxiety and worry that persists for over six months, which can lead to significant impairments in social, occupational and other functioning, according to the National Institute of Mental Health (“NIMH”). GAD is the most common anxiety disorder seen in primary care settings. An estimated 6.8 million adults are diagnosed with GAD in a given year in the United States.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Existing Treatments</w:t>
      </w:r>
    </w:p>
    <w:p>
      <w:pPr>
        <w:spacing w:after="0" w:line="226" w:lineRule="exact"/>
        <w:rPr>
          <w:sz w:val="20"/>
          <w:szCs w:val="20"/>
          <w:color w:val="auto"/>
        </w:rPr>
      </w:pPr>
    </w:p>
    <w:p>
      <w:pPr>
        <w:ind w:right="40" w:firstLine="646"/>
        <w:spacing w:after="0" w:line="276" w:lineRule="auto"/>
        <w:rPr>
          <w:sz w:val="20"/>
          <w:szCs w:val="20"/>
          <w:color w:val="auto"/>
        </w:rPr>
      </w:pPr>
      <w:r>
        <w:rPr>
          <w:rFonts w:ascii="Times New Roman" w:cs="Times New Roman" w:eastAsia="Times New Roman" w:hAnsi="Times New Roman"/>
          <w:sz w:val="17"/>
          <w:szCs w:val="17"/>
          <w:color w:val="auto"/>
        </w:rPr>
        <w:t>There is a significant unmet need for new therapies in GAD. Current recommendations for GAD treatment include selective serotonin reuptake inhibitors (“SSRIs”), serotonin and noradrenaline reuptake inhibitors (“SNRIs”), and pregabalin as first-line options, with benzodiazepines as second-line options. GAD is also treated with psychotherapy alone or in combination with pharmacotherapies. However, these treatments have significant limitations, including a delayed onset of action, poor therapy adherence rates and substantial treatment side effects. In particular, the side effects associated with long-term use of these pharmacotherapies include emotional numbness, reduced positivity, weight gain, sexual dysfunction, and suicidal thoughts.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Psychedelic-Assisted Psychotherapy as a Treatment in Mental Health</w:t>
      </w:r>
    </w:p>
    <w:p>
      <w:pPr>
        <w:spacing w:after="0" w:line="226" w:lineRule="exact"/>
        <w:rPr>
          <w:sz w:val="20"/>
          <w:szCs w:val="20"/>
          <w:color w:val="auto"/>
        </w:rPr>
      </w:pPr>
    </w:p>
    <w:p>
      <w:pPr>
        <w:ind w:right="220" w:firstLine="646"/>
        <w:spacing w:after="0" w:line="288" w:lineRule="auto"/>
        <w:rPr>
          <w:sz w:val="20"/>
          <w:szCs w:val="20"/>
          <w:color w:val="auto"/>
        </w:rPr>
      </w:pPr>
      <w:r>
        <w:rPr>
          <w:rFonts w:ascii="Times New Roman" w:cs="Times New Roman" w:eastAsia="Times New Roman" w:hAnsi="Times New Roman"/>
          <w:sz w:val="17"/>
          <w:szCs w:val="17"/>
          <w:color w:val="auto"/>
        </w:rPr>
        <w:t>Psychedelic-assisted psychotherapy may provide rapid, significant, and lasting benefits in treating unipolar depression, depression and anxiety symptoms associated with a terminal illness, and substance misuse. Psilocybin is a psychoactive molecule that occurs naturally in several genera of mushrooms, which primarily acts on the serotonin receptor system, and can modulate states of consciousness, cognition, perception, and mood.</w:t>
      </w:r>
    </w:p>
    <w:p>
      <w:pPr>
        <w:spacing w:after="0" w:line="158" w:lineRule="exact"/>
        <w:rPr>
          <w:sz w:val="20"/>
          <w:szCs w:val="20"/>
          <w:color w:val="auto"/>
        </w:rPr>
      </w:pPr>
    </w:p>
    <w:p>
      <w:pPr>
        <w:ind w:firstLine="646"/>
        <w:spacing w:after="0" w:line="260" w:lineRule="auto"/>
        <w:rPr>
          <w:sz w:val="20"/>
          <w:szCs w:val="20"/>
          <w:color w:val="auto"/>
        </w:rPr>
      </w:pPr>
      <w:r>
        <w:rPr>
          <w:rFonts w:ascii="Times New Roman" w:cs="Times New Roman" w:eastAsia="Times New Roman" w:hAnsi="Times New Roman"/>
          <w:sz w:val="18"/>
          <w:szCs w:val="18"/>
          <w:color w:val="auto"/>
        </w:rPr>
        <w:t>Over the past decade, there has been an accumulating body of evidence that psilocybin may have beneficial effects in anxiety, depression, and other mental health conditions. In these studies, administration of psilocybin with psychological support from trained therapists provided a rapid reduction in anxiety and depression symptoms on the day of administration with generally maintained treatment effects at follow-up assessments many months later. These studies have shown psilocybin to be generally well-tolerated. Most studies do not report serious adverse events.</w:t>
      </w:r>
    </w:p>
    <w:p>
      <w:pPr>
        <w:spacing w:after="0" w:line="181" w:lineRule="exact"/>
        <w:rPr>
          <w:sz w:val="20"/>
          <w:szCs w:val="20"/>
          <w:color w:val="auto"/>
        </w:rPr>
      </w:pPr>
    </w:p>
    <w:p>
      <w:pPr>
        <w:jc w:val="both"/>
        <w:ind w:right="80" w:firstLine="646"/>
        <w:spacing w:after="0" w:line="265" w:lineRule="auto"/>
        <w:rPr>
          <w:sz w:val="20"/>
          <w:szCs w:val="20"/>
          <w:color w:val="auto"/>
        </w:rPr>
      </w:pPr>
      <w:r>
        <w:rPr>
          <w:rFonts w:ascii="Times New Roman" w:cs="Times New Roman" w:eastAsia="Times New Roman" w:hAnsi="Times New Roman"/>
          <w:sz w:val="18"/>
          <w:szCs w:val="18"/>
          <w:color w:val="auto"/>
        </w:rPr>
        <w:t>Two psilocybin third-party research programs for depression have received breakthrough therapy designation from the FDA. A small number of other psilocybin treatment development programs are underway globally. Should the results from any of these research programs be positive, approval of psilocybin-assisted psychotherapy as a prescription treatment could occur within the next five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PSX-001 for GAD</w:t>
      </w:r>
    </w:p>
    <w:p>
      <w:pPr>
        <w:spacing w:after="0" w:line="226" w:lineRule="exact"/>
        <w:rPr>
          <w:sz w:val="20"/>
          <w:szCs w:val="20"/>
          <w:color w:val="auto"/>
        </w:rPr>
      </w:pPr>
    </w:p>
    <w:p>
      <w:pPr>
        <w:ind w:right="220" w:firstLine="646"/>
        <w:spacing w:after="0" w:line="265" w:lineRule="auto"/>
        <w:rPr>
          <w:sz w:val="20"/>
          <w:szCs w:val="20"/>
          <w:color w:val="auto"/>
        </w:rPr>
      </w:pPr>
      <w:r>
        <w:rPr>
          <w:rFonts w:ascii="Times New Roman" w:cs="Times New Roman" w:eastAsia="Times New Roman" w:hAnsi="Times New Roman"/>
          <w:sz w:val="18"/>
          <w:szCs w:val="18"/>
          <w:color w:val="auto"/>
        </w:rPr>
        <w:t>Our oral psilocybin lead candidate, PSX-001 is designed to be used in combination with psychological therapy from trained therapists that has been specifically designed for patients diagnosed with generalized anxiety disorder. The therapy is designed to optimize patient safety and therapeutic outcomes in GAD with specific support before, during and after PSX-001 dosing sessions.</w:t>
      </w:r>
    </w:p>
    <w:p>
      <w:pPr>
        <w:spacing w:after="0" w:line="176" w:lineRule="exact"/>
        <w:rPr>
          <w:sz w:val="20"/>
          <w:szCs w:val="20"/>
          <w:color w:val="auto"/>
        </w:rPr>
      </w:pPr>
    </w:p>
    <w:p>
      <w:pPr>
        <w:ind w:right="380" w:firstLine="646"/>
        <w:spacing w:after="0" w:line="281" w:lineRule="auto"/>
        <w:rPr>
          <w:sz w:val="20"/>
          <w:szCs w:val="20"/>
          <w:color w:val="auto"/>
        </w:rPr>
      </w:pPr>
      <w:r>
        <w:rPr>
          <w:rFonts w:ascii="Times New Roman" w:cs="Times New Roman" w:eastAsia="Times New Roman" w:hAnsi="Times New Roman"/>
          <w:sz w:val="18"/>
          <w:szCs w:val="18"/>
          <w:color w:val="auto"/>
        </w:rPr>
        <w:t>Our psilocybin treatment includes administration of two therapeutic doses of our drug candidate, PSX-001, with psychological support from trained therapists before, during and after each dose session. The psychotherapy comprises three distinct phases:</w:t>
      </w:r>
    </w:p>
    <w:p>
      <w:pPr>
        <w:spacing w:after="0" w:line="162" w:lineRule="exact"/>
        <w:rPr>
          <w:sz w:val="20"/>
          <w:szCs w:val="20"/>
          <w:color w:val="auto"/>
        </w:rPr>
      </w:pPr>
    </w:p>
    <w:p>
      <w:pPr>
        <w:ind w:left="980" w:right="420" w:hanging="326"/>
        <w:spacing w:after="0" w:line="265" w:lineRule="auto"/>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psychotherapy: conducted following full enrollment and prior to the first dosing session with a key focus on explaining the concept of the trial and principles of the psychotherapy program to the patient, gaining and understanding of the patient’s presenting problem(s), establishing a safety plan and dosing day plan and conducting experiential exercises.</w:t>
      </w:r>
    </w:p>
    <w:p>
      <w:pPr>
        <w:spacing w:after="0" w:line="39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100"/>
          </w:cols>
          <w:pgMar w:left="320" w:top="871" w:right="479" w:bottom="1440" w:gutter="0" w:footer="0" w:header="0"/>
        </w:sectPr>
      </w:pPr>
    </w:p>
    <w:bookmarkStart w:id="11" w:name="page12"/>
    <w:bookmarkEnd w:id="11"/>
    <w:p>
      <w:pPr>
        <w:ind w:left="980" w:right="380" w:hanging="326"/>
        <w:spacing w:after="0" w:line="311" w:lineRule="auto"/>
        <w:tabs>
          <w:tab w:leader="none" w:pos="98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Dosing sessions: the patients will be administered PSX-001 orally. Prior to dosing, the safety and dosing day plan are reviewed. Once the patient is deemed ready for dosing the dose will be administered and the study team will provide support for navigating the experience.</w:t>
      </w:r>
    </w:p>
    <w:p>
      <w:pPr>
        <w:spacing w:after="0" w:line="139" w:lineRule="exact"/>
        <w:rPr>
          <w:rFonts w:ascii="Times New Roman" w:cs="Times New Roman" w:eastAsia="Times New Roman" w:hAnsi="Times New Roman"/>
          <w:sz w:val="17"/>
          <w:szCs w:val="17"/>
          <w:color w:val="auto"/>
        </w:rPr>
      </w:pPr>
    </w:p>
    <w:p>
      <w:pPr>
        <w:ind w:left="980" w:right="580" w:hanging="326"/>
        <w:spacing w:after="0" w:line="281"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psychotherapy: conducted following the dosing sessions, with a key focus on reviewing the dosing session, identifying and exploring experiential avoidance that emerged in the dosing session and values-based actions.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Phase 2 Exploratory Proof-of-Concept Clinical Trial</w:t>
      </w:r>
    </w:p>
    <w:p>
      <w:pPr>
        <w:spacing w:after="0" w:line="226" w:lineRule="exact"/>
        <w:rPr>
          <w:sz w:val="20"/>
          <w:szCs w:val="20"/>
          <w:color w:val="auto"/>
        </w:rPr>
      </w:pPr>
    </w:p>
    <w:p>
      <w:pPr>
        <w:ind w:right="120" w:firstLine="646"/>
        <w:spacing w:after="0" w:line="281" w:lineRule="auto"/>
        <w:rPr>
          <w:sz w:val="20"/>
          <w:szCs w:val="20"/>
          <w:color w:val="auto"/>
        </w:rPr>
      </w:pPr>
      <w:r>
        <w:rPr>
          <w:rFonts w:ascii="Times New Roman" w:cs="Times New Roman" w:eastAsia="Times New Roman" w:hAnsi="Times New Roman"/>
          <w:sz w:val="18"/>
          <w:szCs w:val="18"/>
          <w:color w:val="auto"/>
        </w:rPr>
        <w:t>We conducted a Australian Phase 2 exploratory, proof-of-concept clinical trial, known as PsiGAD1, pursuant to an authorization from the Human Research Ethics Committee (“HREC”).</w:t>
      </w:r>
    </w:p>
    <w:p>
      <w:pPr>
        <w:spacing w:after="0" w:line="162" w:lineRule="exact"/>
        <w:rPr>
          <w:sz w:val="20"/>
          <w:szCs w:val="20"/>
          <w:color w:val="auto"/>
        </w:rPr>
      </w:pPr>
    </w:p>
    <w:p>
      <w:pPr>
        <w:ind w:right="600" w:firstLine="646"/>
        <w:spacing w:after="0" w:line="265" w:lineRule="auto"/>
        <w:rPr>
          <w:sz w:val="20"/>
          <w:szCs w:val="20"/>
          <w:color w:val="auto"/>
        </w:rPr>
      </w:pPr>
      <w:r>
        <w:rPr>
          <w:rFonts w:ascii="Times New Roman" w:cs="Times New Roman" w:eastAsia="Times New Roman" w:hAnsi="Times New Roman"/>
          <w:sz w:val="18"/>
          <w:szCs w:val="18"/>
          <w:color w:val="auto"/>
        </w:rPr>
        <w:t>The trial was a Phase 2 randomized triple-blind active-placebo-controlled trial to assess the safety and efficacy of psilocybin-assisted psychotherapy for GAD. Participants experienced two psilocybin or active-placebo dosing sessions and up to 11 non-drug, specialist psychotherapy sessions over a period of ten weeks.</w:t>
      </w:r>
    </w:p>
    <w:p>
      <w:pPr>
        <w:spacing w:after="0" w:line="176" w:lineRule="exact"/>
        <w:rPr>
          <w:sz w:val="20"/>
          <w:szCs w:val="20"/>
          <w:color w:val="auto"/>
        </w:rPr>
      </w:pPr>
    </w:p>
    <w:p>
      <w:pPr>
        <w:ind w:right="40" w:firstLine="646"/>
        <w:spacing w:after="0" w:line="276" w:lineRule="auto"/>
        <w:rPr>
          <w:sz w:val="20"/>
          <w:szCs w:val="20"/>
          <w:color w:val="auto"/>
        </w:rPr>
      </w:pPr>
      <w:r>
        <w:rPr>
          <w:rFonts w:ascii="Times New Roman" w:cs="Times New Roman" w:eastAsia="Times New Roman" w:hAnsi="Times New Roman"/>
          <w:sz w:val="17"/>
          <w:szCs w:val="17"/>
          <w:color w:val="auto"/>
        </w:rPr>
        <w:t>Primary outcomes were safety, efficacy and tolerability, and secondary outcomes included quality of life, functional impairment, and comorbidities. Safety was assessed by monitoring adverse events including but not limited to liver function tests and scores on the Ultra Brief Checklist of Suicidality. Efficacy was assessed by comparing the change in Hamilton Anxiety Ratings Scale (“HAM-A”) from baseline between the placebo and treatment group. Tolerability was assessed by comparing the proportion of participants who complete both dosing sessions in the placebo and treatment groups. Secondary endpoints were assessed by monitoring disability, comorbidity, productivity and quality of life using patient reported outcome measures.</w:t>
      </w:r>
    </w:p>
    <w:p>
      <w:pPr>
        <w:spacing w:after="0" w:line="169" w:lineRule="exact"/>
        <w:rPr>
          <w:sz w:val="20"/>
          <w:szCs w:val="20"/>
          <w:color w:val="auto"/>
        </w:rPr>
      </w:pPr>
    </w:p>
    <w:p>
      <w:pPr>
        <w:ind w:right="520" w:firstLine="646"/>
        <w:spacing w:after="0" w:line="281" w:lineRule="auto"/>
        <w:rPr>
          <w:sz w:val="20"/>
          <w:szCs w:val="20"/>
          <w:color w:val="auto"/>
        </w:rPr>
      </w:pPr>
      <w:r>
        <w:rPr>
          <w:rFonts w:ascii="Times New Roman" w:cs="Times New Roman" w:eastAsia="Times New Roman" w:hAnsi="Times New Roman"/>
          <w:sz w:val="18"/>
          <w:szCs w:val="18"/>
          <w:color w:val="auto"/>
        </w:rPr>
        <w:t>Based on topline results from this trial, the trial met its primary endpoint, supporting a large clinical effect in the psilocybin treatment group compared to the placebo group.</w:t>
      </w:r>
    </w:p>
    <w:p>
      <w:pPr>
        <w:spacing w:after="0" w:line="162" w:lineRule="exact"/>
        <w:rPr>
          <w:sz w:val="20"/>
          <w:szCs w:val="20"/>
          <w:color w:val="auto"/>
        </w:rPr>
      </w:pPr>
    </w:p>
    <w:p>
      <w:pPr>
        <w:ind w:firstLine="646"/>
        <w:spacing w:after="0" w:line="257" w:lineRule="auto"/>
        <w:rPr>
          <w:sz w:val="20"/>
          <w:szCs w:val="20"/>
          <w:color w:val="auto"/>
        </w:rPr>
      </w:pPr>
      <w:r>
        <w:rPr>
          <w:rFonts w:ascii="Times New Roman" w:cs="Times New Roman" w:eastAsia="Times New Roman" w:hAnsi="Times New Roman"/>
          <w:sz w:val="18"/>
          <w:szCs w:val="18"/>
          <w:color w:val="auto"/>
        </w:rPr>
        <w:t>The reduction in HAM-A score from baseline in the psilocybin group was 12.8 points, from 29.5 at baseline to 16.8 at week 11 (6 weeks following the final dosing session). This reduction in HAM-A score observed in the psilocybin group was 9.2 points greater than the reduction observed in the placebo group (-12.8 psilocybin vs. -3.6 placebo; p&lt;0.0001). In the trial, 44% of subjects in the psilocybin group were observed to show a clinically meaningful improvement of at least 50% subjects in anxiety score from baseline; a ‘response rate’ more than four times higher than that of the placebo group.</w:t>
      </w:r>
    </w:p>
    <w:p>
      <w:pPr>
        <w:spacing w:after="0" w:line="185" w:lineRule="exact"/>
        <w:rPr>
          <w:sz w:val="20"/>
          <w:szCs w:val="20"/>
          <w:color w:val="auto"/>
        </w:rPr>
      </w:pPr>
    </w:p>
    <w:p>
      <w:pPr>
        <w:ind w:right="280" w:firstLine="646"/>
        <w:spacing w:after="0" w:line="281" w:lineRule="auto"/>
        <w:rPr>
          <w:sz w:val="20"/>
          <w:szCs w:val="20"/>
          <w:color w:val="auto"/>
        </w:rPr>
      </w:pPr>
      <w:r>
        <w:rPr>
          <w:rFonts w:ascii="Times New Roman" w:cs="Times New Roman" w:eastAsia="Times New Roman" w:hAnsi="Times New Roman"/>
          <w:sz w:val="18"/>
          <w:szCs w:val="18"/>
          <w:color w:val="auto"/>
        </w:rPr>
        <w:t>Psilocybin within the context of psychotherapy was observed to be well-tolerated, with only mild and moderate TEAEs reported. No serious or severe adverse events were observed. Only one of the 73 participants withdrew from the trial during the 7-week treatment program.</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anticipate announcing final results from this trial in the first half of 2025.</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Next Steps in PSX-001 Clinical Development</w:t>
      </w:r>
    </w:p>
    <w:p>
      <w:pPr>
        <w:spacing w:after="0" w:line="226" w:lineRule="exact"/>
        <w:rPr>
          <w:sz w:val="20"/>
          <w:szCs w:val="20"/>
          <w:color w:val="auto"/>
        </w:rPr>
      </w:pPr>
    </w:p>
    <w:p>
      <w:pPr>
        <w:ind w:firstLine="646"/>
        <w:spacing w:after="0" w:line="256" w:lineRule="auto"/>
        <w:rPr>
          <w:sz w:val="20"/>
          <w:szCs w:val="20"/>
          <w:color w:val="auto"/>
        </w:rPr>
      </w:pPr>
      <w:r>
        <w:rPr>
          <w:rFonts w:ascii="Times New Roman" w:cs="Times New Roman" w:eastAsia="Times New Roman" w:hAnsi="Times New Roman"/>
          <w:sz w:val="18"/>
          <w:szCs w:val="18"/>
          <w:color w:val="auto"/>
        </w:rPr>
        <w:t>The FDA has completed its review of our IND and gave its authorization for us to proceed with a Phase 2b clinical trial in the United States. This trial is expected to include approximately 94 subjects (including those currently treated with SSRIs who meet the study inclusion and exclusion criteria), evaluate change in the HAM-A anxiety score and other measures of efficacy and be conducted at multiple sites in the United States and the United Kingdom. The required review of the trial dossier by the UK’s Medicines and Healthcare products Regulatory Agency (“MHRA”) is underway. We have designed the follow-up Phase 2b clinical trial with the assistance of Clerkenwell Health, a UK-based contract research organization (“CRO”) specializing in psychiatry and central nervous system treatments.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Development and Manufacture of cGMP Psilocybin Drug Product</w:t>
      </w:r>
    </w:p>
    <w:p>
      <w:pPr>
        <w:spacing w:after="0" w:line="226" w:lineRule="exact"/>
        <w:rPr>
          <w:sz w:val="20"/>
          <w:szCs w:val="20"/>
          <w:color w:val="auto"/>
        </w:rPr>
      </w:pPr>
    </w:p>
    <w:p>
      <w:pPr>
        <w:ind w:right="40" w:firstLine="646"/>
        <w:spacing w:after="0" w:line="311" w:lineRule="auto"/>
        <w:rPr>
          <w:sz w:val="20"/>
          <w:szCs w:val="20"/>
          <w:color w:val="auto"/>
        </w:rPr>
      </w:pPr>
      <w:r>
        <w:rPr>
          <w:rFonts w:ascii="Times New Roman" w:cs="Times New Roman" w:eastAsia="Times New Roman" w:hAnsi="Times New Roman"/>
          <w:sz w:val="17"/>
          <w:szCs w:val="17"/>
          <w:color w:val="auto"/>
        </w:rPr>
        <w:t>We have engaged Catalent for the development and cGMP manufacture of Incannex’s oral psilocybin drug candidate, PSX-001. Final preparations for the manufacture of the cGMP clinical trial supply of PSX-001 are currently ongoing. This drug candidate will be used in our planned clinical trials.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Model Mental Health Clinic for Psychedelic-Assisted Psychotherapy</w:t>
      </w:r>
    </w:p>
    <w:p>
      <w:pPr>
        <w:spacing w:after="0" w:line="226" w:lineRule="exact"/>
        <w:rPr>
          <w:sz w:val="20"/>
          <w:szCs w:val="20"/>
          <w:color w:val="auto"/>
        </w:rPr>
      </w:pPr>
    </w:p>
    <w:p>
      <w:pPr>
        <w:ind w:right="100" w:firstLine="646"/>
        <w:spacing w:after="0" w:line="265" w:lineRule="auto"/>
        <w:rPr>
          <w:sz w:val="20"/>
          <w:szCs w:val="20"/>
          <w:color w:val="auto"/>
        </w:rPr>
      </w:pPr>
      <w:r>
        <w:rPr>
          <w:rFonts w:ascii="Times New Roman" w:cs="Times New Roman" w:eastAsia="Times New Roman" w:hAnsi="Times New Roman"/>
          <w:sz w:val="18"/>
          <w:szCs w:val="18"/>
          <w:color w:val="auto"/>
        </w:rPr>
        <w:t>We have opened one of the first psychedelic-assisted psychotherapy clinics in Australia, which will serve as a model for potential future sites. We believe this first clinic will provide real-world experience in treating mental health patients utilizing psychedelic-assisted psychotherapy. Assuming regulatory approval, this experience will provide insight on the potential commercialization of PSX-001.</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color w:val="auto"/>
        </w:rPr>
        <w:t>IHL-675A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979805</wp:posOffset>
            </wp:positionH>
            <wp:positionV relativeFrom="paragraph">
              <wp:posOffset>156210</wp:posOffset>
            </wp:positionV>
            <wp:extent cx="5148580" cy="1060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8580" cy="106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80" w:firstLine="646"/>
        <w:spacing w:after="0" w:line="288" w:lineRule="auto"/>
        <w:rPr>
          <w:sz w:val="20"/>
          <w:szCs w:val="20"/>
          <w:color w:val="auto"/>
        </w:rPr>
      </w:pPr>
      <w:r>
        <w:rPr>
          <w:rFonts w:ascii="Times New Roman" w:cs="Times New Roman" w:eastAsia="Times New Roman" w:hAnsi="Times New Roman"/>
          <w:sz w:val="17"/>
          <w:szCs w:val="17"/>
          <w:color w:val="auto"/>
        </w:rPr>
        <w:t>We are developing IHL-675A, an oral fixed dose combination drug candidate that contains synthetic cannabidiol (“CBD”) and hydroxychloroquine sulphate (“HCQ”) for the treatment of inflammatory conditions, with an initial focus on rheumatoid arthritis. Inflammatory conditions occur when the body’s immune system attacks its own tissues and organs causing inflammation, pain, discomfort, and damage to the affected tissues.</w:t>
      </w:r>
    </w:p>
    <w:p>
      <w:pPr>
        <w:spacing w:after="0" w:line="158" w:lineRule="exact"/>
        <w:rPr>
          <w:sz w:val="20"/>
          <w:szCs w:val="20"/>
          <w:color w:val="auto"/>
        </w:rPr>
      </w:pPr>
    </w:p>
    <w:p>
      <w:pPr>
        <w:ind w:firstLine="646"/>
        <w:spacing w:after="0" w:line="254" w:lineRule="auto"/>
        <w:rPr>
          <w:sz w:val="20"/>
          <w:szCs w:val="20"/>
          <w:color w:val="auto"/>
        </w:rPr>
      </w:pPr>
      <w:r>
        <w:rPr>
          <w:rFonts w:ascii="Times New Roman" w:cs="Times New Roman" w:eastAsia="Times New Roman" w:hAnsi="Times New Roman"/>
          <w:sz w:val="18"/>
          <w:szCs w:val="18"/>
          <w:color w:val="auto"/>
        </w:rPr>
        <w:t>IHL-675A comprises a combination of hydroxychloroquine sulphate, an approved anti-rheumatic drug, and synthetic CBD. HCQ is a disease modifying antirheumatic drug that regulates the activity of the immune system, which may be overactive in some conditions. HCQ can modify the underlying disease process, rather than simply treating the symptoms. In our in vitro studies and experiments, we demonstrated that IHL-675A components, CBD and HCQ, act synergistically to inhibit production of key inflammatory cytokines. Based on the results of these experiments and in vitro studies, we believe IHL-675A also has the potential for use in rheumatoid arthritis and other inflammatory conditions, such as acute respiratory distress syndrome, COPD, asthma, bronchitis and inflammatory bowel diseases, e.g. colitis and Crohn’s disease. The rheumatoid arthritis market in the United States is growing rapidly with sales for rheumatoid arthritis treatments reaching US$25.37 billion in 2023. This market is expected to exceed US$31.58 billion by 2033.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Manufacturing Arrangements</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engaged Procaps for the manufacture of a specific oral, fixed dose formulation of IHL-675A that is now being tested in our clinical trials.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Rheumatoid Arthritis</w:t>
      </w:r>
    </w:p>
    <w:p>
      <w:pPr>
        <w:spacing w:after="0" w:line="226" w:lineRule="exact"/>
        <w:rPr>
          <w:sz w:val="20"/>
          <w:szCs w:val="20"/>
          <w:color w:val="auto"/>
        </w:rPr>
      </w:pPr>
    </w:p>
    <w:p>
      <w:pPr>
        <w:ind w:right="160" w:firstLine="646"/>
        <w:spacing w:after="0" w:line="260" w:lineRule="auto"/>
        <w:rPr>
          <w:sz w:val="20"/>
          <w:szCs w:val="20"/>
          <w:color w:val="auto"/>
        </w:rPr>
      </w:pPr>
      <w:r>
        <w:rPr>
          <w:rFonts w:ascii="Times New Roman" w:cs="Times New Roman" w:eastAsia="Times New Roman" w:hAnsi="Times New Roman"/>
          <w:sz w:val="18"/>
          <w:szCs w:val="18"/>
          <w:color w:val="auto"/>
        </w:rPr>
        <w:t>Rheumatoid arthritis is a chronic inflammatory disorder that can affect joints, skin, eyes, lungs, heart and blood vessels. As an autoimmune disorder, rheumatoid arthritis is caused by attacks to body tissues by one’s immune system. Unlike the wear-and-tear damage caused by osteoarthritis, rheumatoid arthritis causes a painful swelling that can eventually result in bone erosion and joint deformity. HCQ is approved for treatment of rheumatoid arthritis in the form of hydroxychloroquine sulphate and marketed as Plaquenil and generic equivalents.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Phase 1 Clinical Trial for IHL-675A</w:t>
      </w:r>
    </w:p>
    <w:p>
      <w:pPr>
        <w:spacing w:after="0" w:line="226" w:lineRule="exact"/>
        <w:rPr>
          <w:sz w:val="20"/>
          <w:szCs w:val="20"/>
          <w:color w:val="auto"/>
        </w:rPr>
      </w:pPr>
    </w:p>
    <w:p>
      <w:pPr>
        <w:ind w:firstLine="646"/>
        <w:spacing w:after="0" w:line="257" w:lineRule="auto"/>
        <w:rPr>
          <w:sz w:val="20"/>
          <w:szCs w:val="20"/>
          <w:color w:val="auto"/>
        </w:rPr>
      </w:pPr>
      <w:r>
        <w:rPr>
          <w:rFonts w:ascii="Times New Roman" w:cs="Times New Roman" w:eastAsia="Times New Roman" w:hAnsi="Times New Roman"/>
          <w:sz w:val="18"/>
          <w:szCs w:val="18"/>
          <w:color w:val="auto"/>
        </w:rPr>
        <w:t>A Phase 1 clinical trial to assess the safety and PK of IHL-675A in healthy volunteers, the results of which will form part of our planned FDA IND for rheumatoid arthritis, and potentially lung inflammation and inflammatory bowel disease. The key endpoints of the trial were the adverse events reported and the plasma levels of the APIs, CBD and HCQ, and their major metabolites over a 28-day period. Three cohorts of 12 participants (n = 36) received either IHL-675A, Epidiolex (CBD) or Plaquenil (HCQ) and the assessments were identical across the three arms of the trial. The trial measured the safety, tolerability, and PK profiles of IHL-675A compared to the reference listed drugs, Epidiolex (CBD) and Plaquenil (HCQ).</w:t>
      </w:r>
    </w:p>
    <w:p>
      <w:pPr>
        <w:spacing w:after="0" w:line="185" w:lineRule="exact"/>
        <w:rPr>
          <w:sz w:val="20"/>
          <w:szCs w:val="20"/>
          <w:color w:val="auto"/>
        </w:rPr>
      </w:pPr>
    </w:p>
    <w:p>
      <w:pPr>
        <w:ind w:right="80" w:firstLine="646"/>
        <w:spacing w:after="0" w:line="270" w:lineRule="auto"/>
        <w:rPr>
          <w:sz w:val="20"/>
          <w:szCs w:val="20"/>
          <w:color w:val="auto"/>
        </w:rPr>
      </w:pPr>
      <w:r>
        <w:rPr>
          <w:rFonts w:ascii="Times New Roman" w:cs="Times New Roman" w:eastAsia="Times New Roman" w:hAnsi="Times New Roman"/>
          <w:sz w:val="17"/>
          <w:szCs w:val="17"/>
          <w:color w:val="auto"/>
        </w:rPr>
        <w:t>CBD and HCQ have historically been used independently in treating rheumatoid arthritis and other inflammatory disorders. However, as with any pharmaceuticals, there were risks involved when evaluating as a combination. Part of the strategy in the design of IHL-675A was that the combination of CBD with HCQ permitted a reduction in HCQ, which reduced the known risks associated with cumulative HCQ dose, without sacrificing efficacy. Results from the in vitro preclinical studies we conducted prior to the trial led to the hypothesis that a lower cumulative dose of HCQ, when combined with CBD, would also reduce disease severity scores in IHL-675A’s target indications in humans. Nonetheless, there was always the potential for the two drugs to interact and exacerbate minor concerns that exist when used alone or lead to new safety concerns. Demonstrating that a combination drug containing CBD and HCQ had a similar safety profile to the component drugs was an important step in the development program and was a requirement set out by regulatory agencies. Safety assessments in this trial included cardiac monitoring via 24-hour Holter monitor and electrocardiogram (“ECG”), and blood biomarkers, serum liver enzyme levels, blood cell counts and biochemistry, monitoring of vital signs and mental health questionnaires.</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13" w:name="page14"/>
    <w:bookmarkEnd w:id="13"/>
    <w:p>
      <w:pPr>
        <w:ind w:right="20" w:firstLine="646"/>
        <w:spacing w:after="0" w:line="255" w:lineRule="auto"/>
        <w:rPr>
          <w:sz w:val="20"/>
          <w:szCs w:val="20"/>
          <w:color w:val="auto"/>
        </w:rPr>
      </w:pPr>
      <w:r>
        <w:rPr>
          <w:rFonts w:ascii="Times New Roman" w:cs="Times New Roman" w:eastAsia="Times New Roman" w:hAnsi="Times New Roman"/>
          <w:sz w:val="18"/>
          <w:szCs w:val="18"/>
          <w:color w:val="auto"/>
        </w:rPr>
        <w:t>The other component of this study was monitoring the PK of the API of IHL-675A, CBD and HCQ, and comparing them to their respective reference listed drugs Epidiolex and Plaquenil. Study participants were dosed with either IHL-675A, Epidiolex or Plaquenil with equivalent amounts of the respective API. Blood samples were drawn at predetermined intervals over a 48-hour period, as well as seven, 14, 21 and 28 days post dosing, and analyzed for levels of CBD and HCQ as well as their major metabolites. For each molecule the maximum concentration (“Cmax”), time to maximum concentration (“Tmax”) and total exposure (“AUCinf”) were determined. The PK parameters for IHL-675A, Epidiolex and Plaquenil were compared to determine whether the APIs in IHL-675A were bioequivalent to the reference listed drugs. Bioequivalence is an important component of the FDA 505(b)2 approval pathway that Incannex is targeting with IHL-675A.</w:t>
      </w:r>
    </w:p>
    <w:p>
      <w:pPr>
        <w:spacing w:after="0" w:line="184" w:lineRule="exact"/>
        <w:rPr>
          <w:sz w:val="20"/>
          <w:szCs w:val="20"/>
          <w:color w:val="auto"/>
        </w:rPr>
      </w:pPr>
    </w:p>
    <w:p>
      <w:pPr>
        <w:ind w:right="840" w:firstLine="646"/>
        <w:spacing w:after="0" w:line="281" w:lineRule="auto"/>
        <w:rPr>
          <w:sz w:val="20"/>
          <w:szCs w:val="20"/>
          <w:color w:val="auto"/>
        </w:rPr>
      </w:pPr>
      <w:r>
        <w:rPr>
          <w:rFonts w:ascii="Times New Roman" w:cs="Times New Roman" w:eastAsia="Times New Roman" w:hAnsi="Times New Roman"/>
          <w:sz w:val="18"/>
          <w:szCs w:val="18"/>
          <w:color w:val="auto"/>
        </w:rPr>
        <w:t>Based on final available study results, IHL-675A was observed to be well-tolerated and both the active pharmaceutical ingredients were bioavailable.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CBD PK Results</w:t>
      </w:r>
    </w:p>
    <w:p>
      <w:pPr>
        <w:spacing w:after="0" w:line="226" w:lineRule="exact"/>
        <w:rPr>
          <w:sz w:val="20"/>
          <w:szCs w:val="20"/>
          <w:color w:val="auto"/>
        </w:rPr>
      </w:pPr>
    </w:p>
    <w:p>
      <w:pPr>
        <w:ind w:right="20" w:firstLine="646"/>
        <w:spacing w:after="0" w:line="276" w:lineRule="auto"/>
        <w:rPr>
          <w:sz w:val="20"/>
          <w:szCs w:val="20"/>
          <w:color w:val="auto"/>
        </w:rPr>
      </w:pPr>
      <w:r>
        <w:rPr>
          <w:rFonts w:ascii="Times New Roman" w:cs="Times New Roman" w:eastAsia="Times New Roman" w:hAnsi="Times New Roman"/>
          <w:sz w:val="17"/>
          <w:szCs w:val="17"/>
          <w:color w:val="auto"/>
        </w:rPr>
        <w:t>Comparison of the average PK of CBD in participants administered IHL-675A compared to those administered Epidiolex revealed that the CBD was taken up from IHL-675A more quickly and reached a higher maximum concentration than from Epidiolex. The average Cmax of CBD from IHL-675A was 1.57 times higher than for Epidiolex. The Tmax was 26% faster for IHL-675A than Epidiolex. CBD administered in IHL-675A was also cleared more quickly than Epidiolex. The half-life (t1/2) of CBD from IHL-675A was 13% faster than Epidiolex. The AUCinf was similar for CBD administered as IHL-675A and Epidiolex. These patterns are trends at this point (p &gt;0.05). Similar results were observed for CBD metabolites 7-COOH-CBD and 7-OH-CBD.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Hydroxychloroquine PK Results</w:t>
      </w:r>
    </w:p>
    <w:p>
      <w:pPr>
        <w:spacing w:after="0" w:line="226" w:lineRule="exact"/>
        <w:rPr>
          <w:sz w:val="20"/>
          <w:szCs w:val="20"/>
          <w:color w:val="auto"/>
        </w:rPr>
      </w:pPr>
    </w:p>
    <w:p>
      <w:pPr>
        <w:ind w:firstLine="646"/>
        <w:spacing w:after="0" w:line="257" w:lineRule="auto"/>
        <w:rPr>
          <w:sz w:val="20"/>
          <w:szCs w:val="20"/>
          <w:color w:val="auto"/>
        </w:rPr>
      </w:pPr>
      <w:r>
        <w:rPr>
          <w:rFonts w:ascii="Times New Roman" w:cs="Times New Roman" w:eastAsia="Times New Roman" w:hAnsi="Times New Roman"/>
          <w:sz w:val="18"/>
          <w:szCs w:val="18"/>
          <w:color w:val="auto"/>
        </w:rPr>
        <w:t>A comparison of the average PK of HCQ in participants administered IHL-675A compared to those administered Plaquenil revealed that HCQ was taken up more slowly from IHL-675A than from Plaquenil. However, the two drugs had a similar maximum plasma concentration. The Tmax for HCQ administered as IHL-675A was 46% slower than for Plaquenil. The hydroxychloroquine clearance and total exposure were similar for the two drugs. These patterns are trends at this point (p &gt;0.05). Plasma concentrations of hydroxychloroquine of HCQ metabolites desethylhydroxychloroquine, bisdesethylhydroxychloroquine and desethylchloroquine were detected only at low levels (&lt;2 ng/mL) at all points in the study.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Tolerance</w:t>
      </w:r>
    </w:p>
    <w:p>
      <w:pPr>
        <w:spacing w:after="0" w:line="226" w:lineRule="exact"/>
        <w:rPr>
          <w:sz w:val="20"/>
          <w:szCs w:val="20"/>
          <w:color w:val="auto"/>
        </w:rPr>
      </w:pPr>
    </w:p>
    <w:p>
      <w:pPr>
        <w:jc w:val="both"/>
        <w:ind w:firstLine="646"/>
        <w:spacing w:after="0" w:line="265" w:lineRule="auto"/>
        <w:rPr>
          <w:sz w:val="20"/>
          <w:szCs w:val="20"/>
          <w:color w:val="auto"/>
        </w:rPr>
      </w:pPr>
      <w:r>
        <w:rPr>
          <w:rFonts w:ascii="Times New Roman" w:cs="Times New Roman" w:eastAsia="Times New Roman" w:hAnsi="Times New Roman"/>
          <w:sz w:val="18"/>
          <w:szCs w:val="18"/>
          <w:color w:val="auto"/>
        </w:rPr>
        <w:t>IHL-675A was observed to be well-tolerated, with no serious adverse events reported. The same number of treatment related TEAEs were reported for IHL-675A as for Epidiolex. Fewer treatment related TEAEs were reported for Plaquenil. All treatment related TEAEs were minor, with the exception of one incidence of moderate severity abdominal cramps, which was resolved soon after onset.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Interpretation of the Results from the Phase 1 Clinical Trial</w:t>
      </w:r>
    </w:p>
    <w:p>
      <w:pPr>
        <w:spacing w:after="0" w:line="226" w:lineRule="exact"/>
        <w:rPr>
          <w:sz w:val="20"/>
          <w:szCs w:val="20"/>
          <w:color w:val="auto"/>
        </w:rPr>
      </w:pPr>
    </w:p>
    <w:p>
      <w:pPr>
        <w:ind w:right="220" w:firstLine="646"/>
        <w:spacing w:after="0" w:line="288" w:lineRule="auto"/>
        <w:rPr>
          <w:sz w:val="20"/>
          <w:szCs w:val="20"/>
          <w:color w:val="auto"/>
        </w:rPr>
      </w:pPr>
      <w:r>
        <w:rPr>
          <w:rFonts w:ascii="Times New Roman" w:cs="Times New Roman" w:eastAsia="Times New Roman" w:hAnsi="Times New Roman"/>
          <w:sz w:val="17"/>
          <w:szCs w:val="17"/>
          <w:color w:val="auto"/>
        </w:rPr>
        <w:t>Both APIs, CBD and HCQ, were absorbed from IHL-675A. Trends in PK profiles indicated that the uptake of CBD may be more rapid for IHL-675A than Epidiolex and uptake of HCQ may be slower for IHL-675A than Plaquenil. This could be advantageous for IHL-675A. Clinical evidence suggests that CBD provides immediate relief for inflammation and pain, whereas HCQ is a slower acting molecule and provides extended relief.</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Phase 2 Clinical Trial Assessing the Effects of IHL-675A on Pain and Function in Patients with Rheumatoid Arthritis</w:t>
      </w:r>
    </w:p>
    <w:p>
      <w:pPr>
        <w:spacing w:after="0" w:line="226" w:lineRule="exact"/>
        <w:rPr>
          <w:sz w:val="20"/>
          <w:szCs w:val="20"/>
          <w:color w:val="auto"/>
        </w:rPr>
      </w:pPr>
    </w:p>
    <w:p>
      <w:pPr>
        <w:ind w:right="240" w:firstLine="646"/>
        <w:spacing w:after="0" w:line="260" w:lineRule="auto"/>
        <w:rPr>
          <w:sz w:val="20"/>
          <w:szCs w:val="20"/>
          <w:color w:val="auto"/>
        </w:rPr>
      </w:pPr>
      <w:r>
        <w:rPr>
          <w:rFonts w:ascii="Times New Roman" w:cs="Times New Roman" w:eastAsia="Times New Roman" w:hAnsi="Times New Roman"/>
          <w:sz w:val="18"/>
          <w:szCs w:val="18"/>
          <w:color w:val="auto"/>
        </w:rPr>
        <w:t>We are conducting a Phase 2 clinical trial in Australia to assess the safety and efficacy of IHL-675A on pain and function in patients with rheumatoid arthritis. The trial is planned to include approximately 128 subjects who meet the eligibility criteria and who upon enrollment will be randomized according to one of four arms: either IHL-675A, CBD alone, HCQ alone or placebo. The treatments will be double blinded, meaning neither the investigators nor patients will know which treatment an individual is receiving.</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4" w:name="page15"/>
    <w:bookmarkEnd w:id="14"/>
    <w:p>
      <w:pPr>
        <w:ind w:firstLine="646"/>
        <w:spacing w:after="0" w:line="257" w:lineRule="auto"/>
        <w:rPr>
          <w:sz w:val="20"/>
          <w:szCs w:val="20"/>
          <w:color w:val="auto"/>
        </w:rPr>
      </w:pPr>
      <w:r>
        <w:rPr>
          <w:rFonts w:ascii="Times New Roman" w:cs="Times New Roman" w:eastAsia="Times New Roman" w:hAnsi="Times New Roman"/>
          <w:sz w:val="18"/>
          <w:szCs w:val="18"/>
          <w:color w:val="auto"/>
        </w:rPr>
        <w:t>The primary endpoint for the Phase 2 trial is pain and function relative to baseline determined via the score on the RAPID3 assessment at 24 weeks. Per the protocol, participants will record their pain and function outcomes daily, by completing questionnaires on pain, fatigue, joint stiffness and quality of life, using an electronic patient reported outcomes device (similar to completing a questionnaire on an electronic tablet). The participants will also attend monthly visits at the clinical trial site, where blood tests, and physical examinations will monitor additional safety and efficacy outcomes, including inflammatory biomarkers. We anticipate reporting top-line data in the second half of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FDA Development</w:t>
      </w:r>
    </w:p>
    <w:p>
      <w:pPr>
        <w:spacing w:after="0" w:line="226" w:lineRule="exact"/>
        <w:rPr>
          <w:sz w:val="20"/>
          <w:szCs w:val="20"/>
          <w:color w:val="auto"/>
        </w:rPr>
      </w:pPr>
    </w:p>
    <w:p>
      <w:pPr>
        <w:ind w:right="60" w:firstLine="646"/>
        <w:spacing w:after="0" w:line="257" w:lineRule="auto"/>
        <w:rPr>
          <w:sz w:val="20"/>
          <w:szCs w:val="20"/>
          <w:color w:val="auto"/>
        </w:rPr>
      </w:pPr>
      <w:r>
        <w:rPr>
          <w:rFonts w:ascii="Times New Roman" w:cs="Times New Roman" w:eastAsia="Times New Roman" w:hAnsi="Times New Roman"/>
          <w:sz w:val="18"/>
          <w:szCs w:val="18"/>
          <w:color w:val="auto"/>
        </w:rPr>
        <w:t>We have completed pre-IND meetings with the FDA to discuss the regulatory pathway for the development of IHL-675A for rheumatoid arthritis and inflammatory lung conditions in the United States and plan to initially open an IND for a Phase 2 trial forrheumatoid arthritis. The FDA provided guidance on the requirements for 505(b)(2) NDA submissions, as was proposed for IHL-675A, that rely on the FDA’s finding of safety and/or effectiveness for listed drugs. In the pre-IND meeting for use of IHL-675A for treatment of rheumatoid arthritis, the FDA confirmed that no further non-clinical studies are needed to open an IND and provided guidance on the proposed clinical development plan for IHL-675A in rheumatoid arthritis.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Secondary Assets and Additional Opportunities</w:t>
      </w:r>
    </w:p>
    <w:p>
      <w:pPr>
        <w:spacing w:after="0" w:line="228" w:lineRule="exact"/>
        <w:rPr>
          <w:sz w:val="20"/>
          <w:szCs w:val="20"/>
          <w:color w:val="auto"/>
        </w:rPr>
      </w:pPr>
    </w:p>
    <w:p>
      <w:pPr>
        <w:ind w:right="200" w:firstLine="646"/>
        <w:spacing w:after="0" w:line="265" w:lineRule="auto"/>
        <w:rPr>
          <w:sz w:val="20"/>
          <w:szCs w:val="20"/>
          <w:color w:val="auto"/>
        </w:rPr>
      </w:pPr>
      <w:r>
        <w:rPr>
          <w:rFonts w:ascii="Times New Roman" w:cs="Times New Roman" w:eastAsia="Times New Roman" w:hAnsi="Times New Roman"/>
          <w:sz w:val="18"/>
          <w:szCs w:val="18"/>
          <w:color w:val="auto"/>
        </w:rPr>
        <w:t>While we are focusing our available resources on the continued development of our three lead drug candidates in the above indications, we are also exploring the development of 25 other secondary assets where we believe proof-of-concept has been established in either preclinical studies, Phase 1 clinical trials or Phase 2 clinical trials.</w:t>
      </w:r>
    </w:p>
    <w:p>
      <w:pPr>
        <w:spacing w:after="0" w:line="176" w:lineRule="exact"/>
        <w:rPr>
          <w:sz w:val="20"/>
          <w:szCs w:val="20"/>
          <w:color w:val="auto"/>
        </w:rPr>
      </w:pPr>
    </w:p>
    <w:p>
      <w:pPr>
        <w:ind w:right="220" w:firstLine="646"/>
        <w:spacing w:after="0" w:line="257" w:lineRule="auto"/>
        <w:rPr>
          <w:sz w:val="20"/>
          <w:szCs w:val="20"/>
          <w:color w:val="auto"/>
        </w:rPr>
      </w:pPr>
      <w:r>
        <w:rPr>
          <w:rFonts w:ascii="Times New Roman" w:cs="Times New Roman" w:eastAsia="Times New Roman" w:hAnsi="Times New Roman"/>
          <w:sz w:val="18"/>
          <w:szCs w:val="18"/>
          <w:color w:val="auto"/>
        </w:rPr>
        <w:t>These secondary drug candidates target a variety of potentially high-value indications, including topical cannabinoid candidates for various skin conditions (estimated global market size US$1.8 billion in 2021), a chewable candidate for smoking cessation (estimated global market size US$28.9 billion in 2024 with estimated 9.2% CAGR) and a candidate for the treatment of opioid addiction (estimated global market size of $4.59 billion in 2021). We also believe our lead drug candidate, IHL-675A, may be able to treat inflammatory bowel disease (estimated U.S. market size US$21 billion in 2021) and pulmonary inflammatory diseases such as COPD and asthma (estimated combined U.S. market size US$36.7 billion in 2022).</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8" w:lineRule="exact"/>
        <w:rPr>
          <w:sz w:val="20"/>
          <w:szCs w:val="20"/>
          <w:color w:val="auto"/>
        </w:rPr>
      </w:pPr>
    </w:p>
    <w:p>
      <w:pPr>
        <w:ind w:right="260" w:firstLine="646"/>
        <w:spacing w:after="0" w:line="257" w:lineRule="auto"/>
        <w:rPr>
          <w:sz w:val="20"/>
          <w:szCs w:val="20"/>
          <w:color w:val="auto"/>
        </w:rPr>
      </w:pPr>
      <w:r>
        <w:rPr>
          <w:rFonts w:ascii="Times New Roman" w:cs="Times New Roman" w:eastAsia="Times New Roman" w:hAnsi="Times New Roman"/>
          <w:sz w:val="18"/>
          <w:szCs w:val="18"/>
          <w:color w:val="auto"/>
        </w:rPr>
        <w:t>We strive to protect the proprietary know-how and technology that we believe is important to our business, including seeking and maintaining patents intended to cover our drug candidates and compositions, their methods of use and processes for their manufacture, and any other aspects of inventions that are commercially important to the development of our business. In addition to pursuing patent protection for all our assets, we rely on unpatented trade secrets, know-how and other confidential information as well as proprietary technological innovation and expertise that are protected in part by confidentiality and invention assignment agreements with our employees, advisors and consultants.</w:t>
      </w:r>
    </w:p>
    <w:p>
      <w:pPr>
        <w:spacing w:after="0" w:line="185" w:lineRule="exact"/>
        <w:rPr>
          <w:sz w:val="20"/>
          <w:szCs w:val="20"/>
          <w:color w:val="auto"/>
        </w:rPr>
      </w:pPr>
    </w:p>
    <w:p>
      <w:pPr>
        <w:ind w:right="60" w:firstLine="646"/>
        <w:spacing w:after="0" w:line="254" w:lineRule="auto"/>
        <w:rPr>
          <w:sz w:val="20"/>
          <w:szCs w:val="20"/>
          <w:color w:val="auto"/>
        </w:rPr>
      </w:pPr>
      <w:r>
        <w:rPr>
          <w:rFonts w:ascii="Times New Roman" w:cs="Times New Roman" w:eastAsia="Times New Roman" w:hAnsi="Times New Roman"/>
          <w:sz w:val="18"/>
          <w:szCs w:val="18"/>
          <w:color w:val="auto"/>
        </w:rPr>
        <w:t>We plan to continue to expand our intellectual property estate by filing patent applications directed to compositions, methods of use, treatment and patient selection, formulations and manufacturing processes created or identified from our ongoing development of our drug candidates. We have three primary patent families in our lead drug candidates, including IHL-42X, IHL-675A, and PSX-001. Our IHL-42X patent portfolio consists of ten pending applications, and our IHL-675A patent portfolio consists of 16 pending applications. If granted, the patent applications in the IHL-42X patent portfolio are expected to expire as far out as 2041 to 2043, and the patent applications in the IHL-675A patent portfolio are expected to expire as far out as 2041 to 2042 (in each case, subject to any patent term disclaimers, adjustments, or extensions). Patent applications in each of these families are active in multiple jurisdictions, including, the United States, Australia, Canada, Colombia, European Patent Organization, Israel, New Zealand, and Japan. Our. Our PSX-001 patent portfolio consists of one pending application. If granted, the patent application is expected to expire in 2045.</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Type of Patent</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Applicable</w:t>
            </w:r>
          </w:p>
        </w:tc>
      </w:tr>
      <w:tr>
        <w:trPr>
          <w:trHeight w:val="245"/>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Product/Technology</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Applications</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Protection</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jurisdictions</w:t>
            </w:r>
          </w:p>
        </w:tc>
      </w:tr>
      <w:tr>
        <w:trPr>
          <w:trHeight w:val="197"/>
        </w:trPr>
        <w:tc>
          <w:tcPr>
            <w:tcW w:w="5080" w:type="dxa"/>
            <w:vAlign w:val="bottom"/>
            <w:tcBorders>
              <w:top w:val="single" w:sz="8" w:color="auto"/>
            </w:tcBorders>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IHL-42X/Compositions and methods for the treatment of obstructive</w:t>
            </w:r>
          </w:p>
        </w:tc>
        <w:tc>
          <w:tcPr>
            <w:tcW w:w="1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center"/>
              <w:spacing w:after="0" w:line="197" w:lineRule="exact"/>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auto"/>
            </w:tcBorders>
            <w:shd w:val="clear" w:color="auto" w:fill="CCEEFF"/>
          </w:tcPr>
          <w:p>
            <w:pPr>
              <w:jc w:val="center"/>
              <w:spacing w:after="0" w:line="197" w:lineRule="exact"/>
              <w:rPr>
                <w:sz w:val="20"/>
                <w:szCs w:val="20"/>
                <w:color w:val="auto"/>
              </w:rPr>
            </w:pPr>
            <w:r>
              <w:rPr>
                <w:rFonts w:ascii="Times New Roman" w:cs="Times New Roman" w:eastAsia="Times New Roman" w:hAnsi="Times New Roman"/>
                <w:sz w:val="18"/>
                <w:szCs w:val="18"/>
                <w:color w:val="auto"/>
                <w:w w:val="99"/>
              </w:rPr>
              <w:t>Standard/utility</w:t>
            </w:r>
          </w:p>
        </w:tc>
        <w:tc>
          <w:tcPr>
            <w:tcW w:w="100" w:type="dxa"/>
            <w:vAlign w:val="bottom"/>
            <w:tcBorders>
              <w:top w:val="single" w:sz="8" w:color="CCEEFF"/>
            </w:tcBorders>
            <w:shd w:val="clear" w:color="auto" w:fill="CCEEFF"/>
          </w:tcPr>
          <w:p>
            <w:pPr>
              <w:spacing w:after="0"/>
              <w:rPr>
                <w:sz w:val="17"/>
                <w:szCs w:val="17"/>
                <w:color w:val="auto"/>
              </w:rPr>
            </w:pPr>
          </w:p>
        </w:tc>
        <w:tc>
          <w:tcPr>
            <w:tcW w:w="2800" w:type="dxa"/>
            <w:vAlign w:val="bottom"/>
            <w:tcBorders>
              <w:top w:val="single" w:sz="8" w:color="auto"/>
            </w:tcBorders>
            <w:shd w:val="clear" w:color="auto" w:fill="CCEEFF"/>
          </w:tcPr>
          <w:p>
            <w:pPr>
              <w:jc w:val="center"/>
              <w:spacing w:after="0" w:line="197" w:lineRule="exact"/>
              <w:rPr>
                <w:sz w:val="20"/>
                <w:szCs w:val="20"/>
                <w:color w:val="auto"/>
              </w:rPr>
            </w:pPr>
            <w:r>
              <w:rPr>
                <w:rFonts w:ascii="Times New Roman" w:cs="Times New Roman" w:eastAsia="Times New Roman" w:hAnsi="Times New Roman"/>
                <w:sz w:val="18"/>
                <w:szCs w:val="18"/>
                <w:color w:val="auto"/>
                <w:w w:val="97"/>
              </w:rPr>
              <w:t>AU, CA, CO, EP, IL, JP, NZ, US</w:t>
            </w:r>
          </w:p>
        </w:tc>
      </w:tr>
      <w:tr>
        <w:trPr>
          <w:trHeight w:val="234"/>
        </w:trPr>
        <w:tc>
          <w:tcPr>
            <w:tcW w:w="52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sleep apnoea (OSA)</w:t>
            </w: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r>
      <w:tr>
        <w:trPr>
          <w:trHeight w:val="197"/>
        </w:trPr>
        <w:tc>
          <w:tcPr>
            <w:tcW w:w="5200" w:type="dxa"/>
            <w:vAlign w:val="bottom"/>
            <w:gridSpan w:val="2"/>
          </w:tcPr>
          <w:p>
            <w:pPr>
              <w:spacing w:after="0" w:line="197" w:lineRule="exact"/>
              <w:rPr>
                <w:sz w:val="20"/>
                <w:szCs w:val="20"/>
                <w:color w:val="auto"/>
              </w:rPr>
            </w:pPr>
            <w:r>
              <w:rPr>
                <w:rFonts w:ascii="Times New Roman" w:cs="Times New Roman" w:eastAsia="Times New Roman" w:hAnsi="Times New Roman"/>
                <w:sz w:val="18"/>
                <w:szCs w:val="18"/>
                <w:color w:val="auto"/>
              </w:rPr>
              <w:t>IHL-675A/Compositions and methods for the treatment of an</w:t>
            </w:r>
          </w:p>
        </w:tc>
        <w:tc>
          <w:tcPr>
            <w:tcW w:w="124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color w:val="auto"/>
                <w:w w:val="99"/>
              </w:rPr>
              <w:t>16</w:t>
            </w:r>
          </w:p>
        </w:tc>
        <w:tc>
          <w:tcPr>
            <w:tcW w:w="100" w:type="dxa"/>
            <w:vAlign w:val="bottom"/>
          </w:tcPr>
          <w:p>
            <w:pPr>
              <w:spacing w:after="0"/>
              <w:rPr>
                <w:sz w:val="17"/>
                <w:szCs w:val="17"/>
                <w:color w:val="auto"/>
              </w:rPr>
            </w:pPr>
          </w:p>
        </w:tc>
        <w:tc>
          <w:tcPr>
            <w:tcW w:w="1900" w:type="dxa"/>
            <w:vAlign w:val="bottom"/>
            <w:gridSpan w:val="2"/>
          </w:tcPr>
          <w:p>
            <w:pPr>
              <w:jc w:val="center"/>
              <w:ind w:right="100"/>
              <w:spacing w:after="0" w:line="197" w:lineRule="exact"/>
              <w:rPr>
                <w:sz w:val="20"/>
                <w:szCs w:val="20"/>
                <w:color w:val="auto"/>
              </w:rPr>
            </w:pPr>
            <w:r>
              <w:rPr>
                <w:rFonts w:ascii="Times New Roman" w:cs="Times New Roman" w:eastAsia="Times New Roman" w:hAnsi="Times New Roman"/>
                <w:sz w:val="18"/>
                <w:szCs w:val="18"/>
                <w:color w:val="auto"/>
                <w:w w:val="99"/>
              </w:rPr>
              <w:t>Standard/utility</w:t>
            </w:r>
          </w:p>
        </w:tc>
        <w:tc>
          <w:tcPr>
            <w:tcW w:w="2800" w:type="dxa"/>
            <w:vAlign w:val="bottom"/>
          </w:tcPr>
          <w:p>
            <w:pPr>
              <w:jc w:val="center"/>
              <w:spacing w:after="0" w:line="197" w:lineRule="exact"/>
              <w:rPr>
                <w:sz w:val="20"/>
                <w:szCs w:val="20"/>
                <w:color w:val="auto"/>
              </w:rPr>
            </w:pPr>
            <w:r>
              <w:rPr>
                <w:rFonts w:ascii="Times New Roman" w:cs="Times New Roman" w:eastAsia="Times New Roman" w:hAnsi="Times New Roman"/>
                <w:sz w:val="18"/>
                <w:szCs w:val="18"/>
                <w:color w:val="auto"/>
                <w:w w:val="97"/>
              </w:rPr>
              <w:t>AU, CA, CO, EP, IL, JP, NZ, US</w:t>
            </w:r>
          </w:p>
        </w:tc>
      </w:tr>
      <w:tr>
        <w:trPr>
          <w:trHeight w:val="234"/>
        </w:trPr>
        <w:tc>
          <w:tcPr>
            <w:tcW w:w="52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inflammatory conditions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215"/>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PSX-001</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Standard/utility</w:t>
            </w:r>
          </w:p>
        </w:tc>
        <w:tc>
          <w:tcPr>
            <w:tcW w:w="2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Provisional</w:t>
            </w:r>
          </w:p>
        </w:tc>
      </w:tr>
      <w:tr>
        <w:trPr>
          <w:trHeight w:val="653"/>
        </w:trPr>
        <w:tc>
          <w:tcPr>
            <w:tcW w:w="5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5" w:right="339" w:bottom="1440" w:gutter="0" w:footer="0" w:header="0"/>
        </w:sectPr>
      </w:pPr>
    </w:p>
    <w:bookmarkStart w:id="15" w:name="page16"/>
    <w:bookmarkEnd w:id="15"/>
    <w:p>
      <w:pPr>
        <w:ind w:right="60" w:firstLine="646"/>
        <w:spacing w:after="0" w:line="256" w:lineRule="auto"/>
        <w:rPr>
          <w:sz w:val="20"/>
          <w:szCs w:val="20"/>
          <w:color w:val="auto"/>
        </w:rPr>
      </w:pPr>
      <w:r>
        <w:rPr>
          <w:rFonts w:ascii="Times New Roman" w:cs="Times New Roman" w:eastAsia="Times New Roman" w:hAnsi="Times New Roman"/>
          <w:sz w:val="18"/>
          <w:szCs w:val="18"/>
          <w:color w:val="auto"/>
        </w:rPr>
        <w:t>We plan to continue to expand our intellectual property estate by filing patent applications directed to compositions, methods of use, treatment and patient selection, formulations and manufacturing processes created or identified from our ongoing development of our drug candidates. Our success will depend on our ability to obtain and maintain patent and other proprietary protection for commercially important technology, inventions and know-how related to our business; defend and enforce our patents; preserve the confidentiality of our trade secrets; and operate without infringing the valid and enforceable patents and proprietary rights of third parties. We seek to obtain domestic and international patent protection, and endeavor to promptly file patent applications for new commercially valuable inventions.</w:t>
      </w:r>
    </w:p>
    <w:p>
      <w:pPr>
        <w:spacing w:after="0" w:line="184" w:lineRule="exact"/>
        <w:rPr>
          <w:sz w:val="20"/>
          <w:szCs w:val="20"/>
          <w:color w:val="auto"/>
        </w:rPr>
      </w:pPr>
    </w:p>
    <w:p>
      <w:pPr>
        <w:ind w:right="60" w:firstLine="646"/>
        <w:spacing w:after="0" w:line="256" w:lineRule="auto"/>
        <w:rPr>
          <w:sz w:val="20"/>
          <w:szCs w:val="20"/>
          <w:color w:val="auto"/>
        </w:rPr>
      </w:pPr>
      <w:r>
        <w:rPr>
          <w:rFonts w:ascii="Times New Roman" w:cs="Times New Roman" w:eastAsia="Times New Roman" w:hAnsi="Times New Roman"/>
          <w:sz w:val="18"/>
          <w:szCs w:val="18"/>
          <w:color w:val="auto"/>
        </w:rPr>
        <w:t>The patent positions of biopharmaceutical companies like us are generally uncertain and involve complex legal, scientific and factual questions. In addition, the coverage claimed in a patent application can be significantly reduced before the patent is issued, and patent scope can be reinterpreted by the courts after issuance. Moreover, many jurisdictions, including the United States, permit third parties to challenge issued patents in administrative proceedings, which may result in further narrowing or even cancellation of patent claims. We cannot predict whether the patent applications we are currently pursuing, or may in the future pursue, will issue as patents in any particular jurisdiction or whether the claims of any issued patents will be enforceable or provide sufficient protection from competitors.</w:t>
      </w:r>
    </w:p>
    <w:p>
      <w:pPr>
        <w:spacing w:after="0" w:line="184" w:lineRule="exact"/>
        <w:rPr>
          <w:sz w:val="20"/>
          <w:szCs w:val="20"/>
          <w:color w:val="auto"/>
        </w:rPr>
      </w:pPr>
    </w:p>
    <w:p>
      <w:pPr>
        <w:ind w:right="100" w:firstLine="646"/>
        <w:spacing w:after="0" w:line="257" w:lineRule="auto"/>
        <w:rPr>
          <w:sz w:val="20"/>
          <w:szCs w:val="20"/>
          <w:color w:val="auto"/>
        </w:rPr>
      </w:pPr>
      <w:r>
        <w:rPr>
          <w:rFonts w:ascii="Times New Roman" w:cs="Times New Roman" w:eastAsia="Times New Roman" w:hAnsi="Times New Roman"/>
          <w:sz w:val="18"/>
          <w:szCs w:val="18"/>
          <w:color w:val="auto"/>
        </w:rPr>
        <w:t>Because patent applications in the United States and certain other jurisdictions are maintained in secrecy for 18 months or potentially even longer, and since publication of discoveries in the scientific or patent literature often lags behind actual discoveries, we cannot be certain of the priority of inventions covered by our issued patents, our pending patent applications or of patent applications we may file in the future. Moreover, we may have to participate in interference proceedings or derivation proceedings declared by the U.S. Patent and Trademark Office (“USPTO”), or similar proceedings outside the United States, to determine priority of invention.</w:t>
      </w:r>
    </w:p>
    <w:p>
      <w:pPr>
        <w:spacing w:after="0" w:line="185" w:lineRule="exact"/>
        <w:rPr>
          <w:sz w:val="20"/>
          <w:szCs w:val="20"/>
          <w:color w:val="auto"/>
        </w:rPr>
      </w:pPr>
    </w:p>
    <w:p>
      <w:pPr>
        <w:ind w:right="140" w:firstLine="646"/>
        <w:spacing w:after="0" w:line="281" w:lineRule="auto"/>
        <w:rPr>
          <w:sz w:val="20"/>
          <w:szCs w:val="20"/>
          <w:color w:val="auto"/>
        </w:rPr>
      </w:pPr>
      <w:r>
        <w:rPr>
          <w:rFonts w:ascii="Times New Roman" w:cs="Times New Roman" w:eastAsia="Times New Roman" w:hAnsi="Times New Roman"/>
          <w:sz w:val="18"/>
          <w:szCs w:val="18"/>
          <w:color w:val="auto"/>
        </w:rPr>
        <w:t>As of June 30, 2024, we also own trademark registrations in Australia and the United States to distinguish and/or protect our brand, including our company name and logo.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8" w:lineRule="exact"/>
        <w:rPr>
          <w:sz w:val="20"/>
          <w:szCs w:val="20"/>
          <w:color w:val="auto"/>
        </w:rPr>
      </w:pPr>
    </w:p>
    <w:p>
      <w:pPr>
        <w:ind w:right="100" w:firstLine="646"/>
        <w:spacing w:after="0" w:line="265" w:lineRule="auto"/>
        <w:rPr>
          <w:sz w:val="20"/>
          <w:szCs w:val="20"/>
          <w:color w:val="auto"/>
        </w:rPr>
      </w:pPr>
      <w:r>
        <w:rPr>
          <w:rFonts w:ascii="Times New Roman" w:cs="Times New Roman" w:eastAsia="Times New Roman" w:hAnsi="Times New Roman"/>
          <w:sz w:val="18"/>
          <w:szCs w:val="18"/>
          <w:color w:val="auto"/>
        </w:rPr>
        <w:t>We are targeting indications that have limited, inadequate, or no approved pharmaceutical treatment options. The table below outlines existing drugs and therapies used to treat the illnesses we aim to treat with our drug candidates and what believe are some of the associated pitfalls for patients with these existing drugs and therapies.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Existing Drugs and</w:t>
            </w:r>
          </w:p>
        </w:tc>
        <w:tc>
          <w:tcPr>
            <w:tcW w:w="120" w:type="dxa"/>
            <w:vAlign w:val="bottom"/>
          </w:tcPr>
          <w:p>
            <w:pPr>
              <w:spacing w:after="0"/>
              <w:rPr>
                <w:sz w:val="18"/>
                <w:szCs w:val="18"/>
                <w:color w:val="auto"/>
              </w:rPr>
            </w:pPr>
          </w:p>
        </w:tc>
        <w:tc>
          <w:tcPr>
            <w:tcW w:w="4300" w:type="dxa"/>
            <w:vAlign w:val="bottom"/>
          </w:tcPr>
          <w:p>
            <w:pPr>
              <w:spacing w:after="0"/>
              <w:rPr>
                <w:sz w:val="18"/>
                <w:szCs w:val="18"/>
                <w:color w:val="auto"/>
              </w:rPr>
            </w:pPr>
          </w:p>
        </w:tc>
      </w:tr>
      <w:tr>
        <w:trPr>
          <w:trHeight w:val="245"/>
        </w:trPr>
        <w:tc>
          <w:tcPr>
            <w:tcW w:w="2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IHL Drug Candidate</w:t>
            </w:r>
          </w:p>
        </w:tc>
        <w:tc>
          <w:tcPr>
            <w:tcW w:w="120" w:type="dxa"/>
            <w:vAlign w:val="bottom"/>
            <w:tcBorders>
              <w:bottom w:val="single" w:sz="8" w:color="CCEEFF"/>
            </w:tcBorders>
          </w:tcPr>
          <w:p>
            <w:pPr>
              <w:spacing w:after="0"/>
              <w:rPr>
                <w:sz w:val="21"/>
                <w:szCs w:val="21"/>
                <w:color w:val="auto"/>
              </w:rPr>
            </w:pPr>
          </w:p>
        </w:tc>
        <w:tc>
          <w:tcPr>
            <w:tcW w:w="22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8"/>
                <w:szCs w:val="18"/>
                <w:b w:val="1"/>
                <w:bCs w:val="1"/>
                <w:color w:val="auto"/>
              </w:rPr>
              <w:t>Indication</w:t>
            </w:r>
          </w:p>
        </w:tc>
        <w:tc>
          <w:tcPr>
            <w:tcW w:w="120" w:type="dxa"/>
            <w:vAlign w:val="bottom"/>
            <w:tcBorders>
              <w:bottom w:val="single" w:sz="8" w:color="CCEEFF"/>
            </w:tcBorders>
          </w:tcPr>
          <w:p>
            <w:pPr>
              <w:spacing w:after="0"/>
              <w:rPr>
                <w:sz w:val="21"/>
                <w:szCs w:val="21"/>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Therapies</w:t>
            </w:r>
          </w:p>
        </w:tc>
        <w:tc>
          <w:tcPr>
            <w:tcW w:w="120" w:type="dxa"/>
            <w:vAlign w:val="bottom"/>
            <w:tcBorders>
              <w:bottom w:val="single" w:sz="8" w:color="CCEEFF"/>
            </w:tcBorders>
          </w:tcPr>
          <w:p>
            <w:pPr>
              <w:spacing w:after="0"/>
              <w:rPr>
                <w:sz w:val="21"/>
                <w:szCs w:val="21"/>
                <w:color w:val="auto"/>
              </w:rPr>
            </w:pPr>
          </w:p>
        </w:tc>
        <w:tc>
          <w:tcPr>
            <w:tcW w:w="43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b w:val="1"/>
                <w:bCs w:val="1"/>
                <w:color w:val="auto"/>
              </w:rPr>
              <w:t>Existing Drug and Therapy Pitfalls</w:t>
            </w:r>
          </w:p>
        </w:tc>
      </w:tr>
      <w:tr>
        <w:trPr>
          <w:trHeight w:val="197"/>
        </w:trPr>
        <w:tc>
          <w:tcPr>
            <w:tcW w:w="224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IHL-42X</w:t>
            </w:r>
          </w:p>
        </w:tc>
        <w:tc>
          <w:tcPr>
            <w:tcW w:w="12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Obstructive Sleep Apnea</w:t>
            </w:r>
          </w:p>
        </w:tc>
        <w:tc>
          <w:tcPr>
            <w:tcW w:w="12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 PAP device, dental device,</w:t>
            </w:r>
          </w:p>
        </w:tc>
        <w:tc>
          <w:tcPr>
            <w:tcW w:w="12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 Noisy mechanical device worn during sleep;</w:t>
            </w:r>
          </w:p>
        </w:tc>
      </w:tr>
      <w:tr>
        <w:trPr>
          <w:trHeight w:val="215"/>
        </w:trPr>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surgery</w:t>
            </w:r>
          </w:p>
        </w:tc>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potential poor patient compliance due to discomfort.</w:t>
            </w:r>
          </w:p>
        </w:tc>
      </w:tr>
      <w:tr>
        <w:trPr>
          <w:trHeight w:val="234"/>
        </w:trPr>
        <w:tc>
          <w:tcPr>
            <w:tcW w:w="2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surgery is invasive</w:t>
            </w:r>
          </w:p>
        </w:tc>
      </w:tr>
      <w:tr>
        <w:trPr>
          <w:trHeight w:val="197"/>
        </w:trPr>
        <w:tc>
          <w:tcPr>
            <w:tcW w:w="22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IHL-675A</w:t>
            </w:r>
          </w:p>
        </w:tc>
        <w:tc>
          <w:tcPr>
            <w:tcW w:w="2360" w:type="dxa"/>
            <w:vAlign w:val="bottom"/>
            <w:gridSpan w:val="2"/>
          </w:tcPr>
          <w:p>
            <w:pPr>
              <w:ind w:left="120"/>
              <w:spacing w:after="0" w:line="197" w:lineRule="exact"/>
              <w:rPr>
                <w:sz w:val="20"/>
                <w:szCs w:val="20"/>
                <w:color w:val="auto"/>
              </w:rPr>
            </w:pPr>
            <w:r>
              <w:rPr>
                <w:rFonts w:ascii="Times New Roman" w:cs="Times New Roman" w:eastAsia="Times New Roman" w:hAnsi="Times New Roman"/>
                <w:sz w:val="18"/>
                <w:szCs w:val="18"/>
                <w:color w:val="auto"/>
              </w:rPr>
              <w:t>Rheumatoid Arthritis</w:t>
            </w:r>
          </w:p>
        </w:tc>
        <w:tc>
          <w:tcPr>
            <w:tcW w:w="2220" w:type="dxa"/>
            <w:vAlign w:val="bottom"/>
            <w:gridSpan w:val="2"/>
          </w:tcPr>
          <w:p>
            <w:pPr>
              <w:ind w:left="120"/>
              <w:spacing w:after="0" w:line="197" w:lineRule="exact"/>
              <w:rPr>
                <w:sz w:val="20"/>
                <w:szCs w:val="20"/>
                <w:color w:val="auto"/>
              </w:rPr>
            </w:pPr>
            <w:r>
              <w:rPr>
                <w:rFonts w:ascii="Times New Roman" w:cs="Times New Roman" w:eastAsia="Times New Roman" w:hAnsi="Times New Roman"/>
                <w:sz w:val="18"/>
                <w:szCs w:val="18"/>
                <w:color w:val="auto"/>
              </w:rPr>
              <w:t>- Corticosteroids</w:t>
            </w:r>
          </w:p>
        </w:tc>
        <w:tc>
          <w:tcPr>
            <w:tcW w:w="4420" w:type="dxa"/>
            <w:vAlign w:val="bottom"/>
            <w:gridSpan w:val="2"/>
          </w:tcPr>
          <w:p>
            <w:pPr>
              <w:ind w:left="120"/>
              <w:spacing w:after="0" w:line="197" w:lineRule="exact"/>
              <w:rPr>
                <w:sz w:val="20"/>
                <w:szCs w:val="20"/>
                <w:color w:val="auto"/>
              </w:rPr>
            </w:pPr>
            <w:r>
              <w:rPr>
                <w:rFonts w:ascii="Times New Roman" w:cs="Times New Roman" w:eastAsia="Times New Roman" w:hAnsi="Times New Roman"/>
                <w:sz w:val="18"/>
                <w:szCs w:val="18"/>
                <w:color w:val="auto"/>
              </w:rPr>
              <w:t>- High expense, significant side effect profiles;</w:t>
            </w:r>
          </w:p>
        </w:tc>
      </w:tr>
      <w:tr>
        <w:trPr>
          <w:trHeight w:val="215"/>
        </w:trPr>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DMARDS</w:t>
            </w:r>
          </w:p>
        </w:tc>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lack of efficacy or tolerability in certain patient cohorts.</w:t>
            </w:r>
          </w:p>
        </w:tc>
      </w:tr>
      <w:tr>
        <w:trPr>
          <w:trHeight w:val="234"/>
        </w:trPr>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Biologic agents</w:t>
            </w:r>
          </w:p>
        </w:tc>
        <w:tc>
          <w:tcPr>
            <w:tcW w:w="12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197"/>
        </w:trPr>
        <w:tc>
          <w:tcPr>
            <w:tcW w:w="224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IHL-675A</w:t>
            </w:r>
          </w:p>
        </w:tc>
        <w:tc>
          <w:tcPr>
            <w:tcW w:w="2360" w:type="dxa"/>
            <w:vAlign w:val="bottom"/>
            <w:gridSpan w:val="2"/>
            <w:shd w:val="clear" w:color="auto" w:fill="CCEEFF"/>
          </w:tcPr>
          <w:p>
            <w:pPr>
              <w:ind w:left="120"/>
              <w:spacing w:after="0" w:line="197" w:lineRule="exact"/>
              <w:rPr>
                <w:sz w:val="20"/>
                <w:szCs w:val="20"/>
                <w:color w:val="auto"/>
              </w:rPr>
            </w:pPr>
            <w:r>
              <w:rPr>
                <w:rFonts w:ascii="Times New Roman" w:cs="Times New Roman" w:eastAsia="Times New Roman" w:hAnsi="Times New Roman"/>
                <w:sz w:val="18"/>
                <w:szCs w:val="18"/>
                <w:color w:val="auto"/>
              </w:rPr>
              <w:t>Lung Inflammation</w:t>
            </w:r>
          </w:p>
        </w:tc>
        <w:tc>
          <w:tcPr>
            <w:tcW w:w="2220" w:type="dxa"/>
            <w:vAlign w:val="bottom"/>
            <w:gridSpan w:val="2"/>
            <w:shd w:val="clear" w:color="auto" w:fill="CCEEFF"/>
          </w:tcPr>
          <w:p>
            <w:pPr>
              <w:ind w:left="120"/>
              <w:spacing w:after="0" w:line="197" w:lineRule="exact"/>
              <w:rPr>
                <w:sz w:val="20"/>
                <w:szCs w:val="20"/>
                <w:color w:val="auto"/>
              </w:rPr>
            </w:pPr>
            <w:r>
              <w:rPr>
                <w:rFonts w:ascii="Times New Roman" w:cs="Times New Roman" w:eastAsia="Times New Roman" w:hAnsi="Times New Roman"/>
                <w:sz w:val="18"/>
                <w:szCs w:val="18"/>
                <w:color w:val="auto"/>
              </w:rPr>
              <w:t>- Corticosteroids</w:t>
            </w:r>
          </w:p>
        </w:tc>
        <w:tc>
          <w:tcPr>
            <w:tcW w:w="4420" w:type="dxa"/>
            <w:vAlign w:val="bottom"/>
            <w:gridSpan w:val="2"/>
            <w:shd w:val="clear" w:color="auto" w:fill="CCEEFF"/>
          </w:tcPr>
          <w:p>
            <w:pPr>
              <w:ind w:left="120"/>
              <w:spacing w:after="0" w:line="197" w:lineRule="exact"/>
              <w:rPr>
                <w:sz w:val="20"/>
                <w:szCs w:val="20"/>
                <w:color w:val="auto"/>
              </w:rPr>
            </w:pPr>
            <w:r>
              <w:rPr>
                <w:rFonts w:ascii="Times New Roman" w:cs="Times New Roman" w:eastAsia="Times New Roman" w:hAnsi="Times New Roman"/>
                <w:sz w:val="18"/>
                <w:szCs w:val="18"/>
                <w:color w:val="auto"/>
              </w:rPr>
              <w:t>- Corticosteroids reduce immune system activity;</w:t>
            </w:r>
          </w:p>
        </w:tc>
      </w:tr>
      <w:tr>
        <w:trPr>
          <w:trHeight w:val="234"/>
        </w:trPr>
        <w:tc>
          <w:tcPr>
            <w:tcW w:w="2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2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Ventilator</w:t>
            </w:r>
          </w:p>
        </w:tc>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ventilators are associated with a high rate of mortality.</w:t>
            </w:r>
          </w:p>
        </w:tc>
      </w:tr>
      <w:tr>
        <w:trPr>
          <w:trHeight w:val="197"/>
        </w:trPr>
        <w:tc>
          <w:tcPr>
            <w:tcW w:w="224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IHL-675A</w:t>
            </w:r>
          </w:p>
        </w:tc>
        <w:tc>
          <w:tcPr>
            <w:tcW w:w="2360" w:type="dxa"/>
            <w:vAlign w:val="bottom"/>
            <w:gridSpan w:val="2"/>
          </w:tcPr>
          <w:p>
            <w:pPr>
              <w:ind w:left="120"/>
              <w:spacing w:after="0" w:line="197" w:lineRule="exact"/>
              <w:rPr>
                <w:sz w:val="20"/>
                <w:szCs w:val="20"/>
                <w:color w:val="auto"/>
              </w:rPr>
            </w:pPr>
            <w:r>
              <w:rPr>
                <w:rFonts w:ascii="Times New Roman" w:cs="Times New Roman" w:eastAsia="Times New Roman" w:hAnsi="Times New Roman"/>
                <w:sz w:val="18"/>
                <w:szCs w:val="18"/>
                <w:color w:val="auto"/>
              </w:rPr>
              <w:t>Inflammatory Bowel Disease</w:t>
            </w:r>
          </w:p>
        </w:tc>
        <w:tc>
          <w:tcPr>
            <w:tcW w:w="2220" w:type="dxa"/>
            <w:vAlign w:val="bottom"/>
            <w:gridSpan w:val="2"/>
          </w:tcPr>
          <w:p>
            <w:pPr>
              <w:ind w:left="120"/>
              <w:spacing w:after="0" w:line="197" w:lineRule="exact"/>
              <w:rPr>
                <w:sz w:val="20"/>
                <w:szCs w:val="20"/>
                <w:color w:val="auto"/>
              </w:rPr>
            </w:pPr>
            <w:r>
              <w:rPr>
                <w:rFonts w:ascii="Times New Roman" w:cs="Times New Roman" w:eastAsia="Times New Roman" w:hAnsi="Times New Roman"/>
                <w:sz w:val="18"/>
                <w:szCs w:val="18"/>
                <w:color w:val="auto"/>
              </w:rPr>
              <w:t>- Corticosteroids</w:t>
            </w:r>
          </w:p>
        </w:tc>
        <w:tc>
          <w:tcPr>
            <w:tcW w:w="4420" w:type="dxa"/>
            <w:vAlign w:val="bottom"/>
            <w:gridSpan w:val="2"/>
          </w:tcPr>
          <w:p>
            <w:pPr>
              <w:ind w:left="120"/>
              <w:spacing w:after="0" w:line="197" w:lineRule="exact"/>
              <w:rPr>
                <w:sz w:val="20"/>
                <w:szCs w:val="20"/>
                <w:color w:val="auto"/>
              </w:rPr>
            </w:pPr>
            <w:r>
              <w:rPr>
                <w:rFonts w:ascii="Times New Roman" w:cs="Times New Roman" w:eastAsia="Times New Roman" w:hAnsi="Times New Roman"/>
                <w:sz w:val="18"/>
                <w:szCs w:val="18"/>
                <w:color w:val="auto"/>
              </w:rPr>
              <w:t>- Corticosteroids can reduce immune system activity;</w:t>
            </w:r>
          </w:p>
        </w:tc>
      </w:tr>
      <w:tr>
        <w:trPr>
          <w:trHeight w:val="215"/>
        </w:trPr>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Immune system</w:t>
            </w:r>
          </w:p>
        </w:tc>
        <w:tc>
          <w:tcPr>
            <w:tcW w:w="4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ISSs can damage the digestive tract lining;</w:t>
            </w:r>
          </w:p>
        </w:tc>
      </w:tr>
      <w:tr>
        <w:trPr>
          <w:trHeight w:val="215"/>
        </w:trPr>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suppressors (ISSs)</w:t>
            </w:r>
          </w:p>
        </w:tc>
        <w:tc>
          <w:tcPr>
            <w:tcW w:w="120" w:type="dxa"/>
            <w:vAlign w:val="bottom"/>
          </w:tcPr>
          <w:p>
            <w:pPr>
              <w:spacing w:after="0"/>
              <w:rPr>
                <w:sz w:val="18"/>
                <w:szCs w:val="18"/>
                <w:color w:val="auto"/>
              </w:rPr>
            </w:pPr>
          </w:p>
        </w:tc>
        <w:tc>
          <w:tcPr>
            <w:tcW w:w="4300" w:type="dxa"/>
            <w:vAlign w:val="bottom"/>
          </w:tcPr>
          <w:p>
            <w:pPr>
              <w:spacing w:after="0"/>
              <w:rPr>
                <w:sz w:val="18"/>
                <w:szCs w:val="18"/>
                <w:color w:val="auto"/>
              </w:rPr>
            </w:pPr>
          </w:p>
        </w:tc>
      </w:tr>
      <w:tr>
        <w:trPr>
          <w:trHeight w:val="234"/>
        </w:trPr>
        <w:tc>
          <w:tcPr>
            <w:tcW w:w="2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Biologic agents</w:t>
            </w:r>
          </w:p>
        </w:tc>
        <w:tc>
          <w:tcPr>
            <w:tcW w:w="12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197"/>
        </w:trPr>
        <w:tc>
          <w:tcPr>
            <w:tcW w:w="224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PSX-001</w:t>
            </w:r>
          </w:p>
        </w:tc>
        <w:tc>
          <w:tcPr>
            <w:tcW w:w="2360" w:type="dxa"/>
            <w:vAlign w:val="bottom"/>
            <w:gridSpan w:val="2"/>
            <w:shd w:val="clear" w:color="auto" w:fill="CCEEFF"/>
          </w:tcPr>
          <w:p>
            <w:pPr>
              <w:ind w:left="120"/>
              <w:spacing w:after="0" w:line="197" w:lineRule="exact"/>
              <w:rPr>
                <w:sz w:val="20"/>
                <w:szCs w:val="20"/>
                <w:color w:val="auto"/>
              </w:rPr>
            </w:pPr>
            <w:r>
              <w:rPr>
                <w:rFonts w:ascii="Times New Roman" w:cs="Times New Roman" w:eastAsia="Times New Roman" w:hAnsi="Times New Roman"/>
                <w:sz w:val="18"/>
                <w:szCs w:val="18"/>
                <w:color w:val="auto"/>
              </w:rPr>
              <w:t>Generalized Anxiety Disorder</w:t>
            </w:r>
          </w:p>
        </w:tc>
        <w:tc>
          <w:tcPr>
            <w:tcW w:w="2220" w:type="dxa"/>
            <w:vAlign w:val="bottom"/>
            <w:gridSpan w:val="2"/>
            <w:shd w:val="clear" w:color="auto" w:fill="CCEEFF"/>
          </w:tcPr>
          <w:p>
            <w:pPr>
              <w:ind w:left="120"/>
              <w:spacing w:after="0" w:line="197" w:lineRule="exact"/>
              <w:rPr>
                <w:sz w:val="20"/>
                <w:szCs w:val="20"/>
                <w:color w:val="auto"/>
              </w:rPr>
            </w:pPr>
            <w:r>
              <w:rPr>
                <w:rFonts w:ascii="Times New Roman" w:cs="Times New Roman" w:eastAsia="Times New Roman" w:hAnsi="Times New Roman"/>
                <w:sz w:val="18"/>
                <w:szCs w:val="18"/>
                <w:color w:val="auto"/>
              </w:rPr>
              <w:t>- Antidepressants</w:t>
            </w:r>
          </w:p>
        </w:tc>
        <w:tc>
          <w:tcPr>
            <w:tcW w:w="4420" w:type="dxa"/>
            <w:vAlign w:val="bottom"/>
            <w:gridSpan w:val="2"/>
            <w:shd w:val="clear" w:color="auto" w:fill="CCEEFF"/>
          </w:tcPr>
          <w:p>
            <w:pPr>
              <w:ind w:left="120"/>
              <w:spacing w:after="0" w:line="197" w:lineRule="exact"/>
              <w:rPr>
                <w:sz w:val="20"/>
                <w:szCs w:val="20"/>
                <w:color w:val="auto"/>
              </w:rPr>
            </w:pPr>
            <w:r>
              <w:rPr>
                <w:rFonts w:ascii="Times New Roman" w:cs="Times New Roman" w:eastAsia="Times New Roman" w:hAnsi="Times New Roman"/>
                <w:sz w:val="18"/>
                <w:szCs w:val="18"/>
                <w:color w:val="auto"/>
              </w:rPr>
              <w:t>- Non-curative, poor side effect profile;</w:t>
            </w:r>
          </w:p>
        </w:tc>
      </w:tr>
      <w:tr>
        <w:trPr>
          <w:trHeight w:val="234"/>
        </w:trPr>
        <w:tc>
          <w:tcPr>
            <w:tcW w:w="2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40" w:type="dxa"/>
            <w:vAlign w:val="bottom"/>
            <w:shd w:val="clear" w:color="auto" w:fill="CCEEFF"/>
          </w:tcPr>
          <w:p>
            <w:pPr>
              <w:spacing w:after="0"/>
              <w:rPr>
                <w:sz w:val="20"/>
                <w:szCs w:val="20"/>
                <w:color w:val="auto"/>
              </w:rPr>
            </w:pPr>
          </w:p>
        </w:tc>
        <w:tc>
          <w:tcPr>
            <w:tcW w:w="2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(SSRI/SNRI classes)</w:t>
            </w:r>
          </w:p>
        </w:tc>
        <w:tc>
          <w:tcPr>
            <w:tcW w:w="44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some patients become treatment resistant.</w:t>
            </w:r>
          </w:p>
        </w:tc>
      </w:tr>
      <w:tr>
        <w:trPr>
          <w:trHeight w:val="653"/>
        </w:trPr>
        <w:tc>
          <w:tcPr>
            <w:tcW w:w="2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2"/>
          </w:tcPr>
          <w:p>
            <w:pPr>
              <w:jc w:val="right"/>
              <w:ind w:right="101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5" w:right="339" w:bottom="1440" w:gutter="0" w:footer="0" w:header="0"/>
        </w:sectPr>
      </w:pPr>
    </w:p>
    <w:bookmarkStart w:id="16" w:name="page17"/>
    <w:bookmarkEnd w:id="16"/>
    <w:p>
      <w:pPr>
        <w:ind w:right="40" w:firstLine="646"/>
        <w:spacing w:after="0" w:line="255" w:lineRule="auto"/>
        <w:rPr>
          <w:sz w:val="20"/>
          <w:szCs w:val="20"/>
          <w:color w:val="auto"/>
        </w:rPr>
      </w:pPr>
      <w:r>
        <w:rPr>
          <w:rFonts w:ascii="Times New Roman" w:cs="Times New Roman" w:eastAsia="Times New Roman" w:hAnsi="Times New Roman"/>
          <w:sz w:val="18"/>
          <w:szCs w:val="18"/>
          <w:color w:val="auto"/>
        </w:rPr>
        <w:t>However, the biopharmaceuticals industry is highly competitive. While we believe that our investigational synthetic cannabinoid-combination and psychedelic-assisted treatments represent a fundamental shift in the treatment paradigm relative to other treatments for these serious, chronic diseases, we face or may face potential competition from many different sources, including major pharmaceutical, biopharmaceutical, specialty pharmaceutical and biotechnology companies, academic institutions, governmental agencies and medical research organizations. Many of our competitors may have significantly greater financial, manufacturing, marketing, drug development, technical and human resources than we do. Accordingly, our potential competitors may succeed in obtaining FDA or other regulatory approval for alternative or superior products. Any drug candidates, that we successfully develop, will compete with the standard of care and new therapies that may become available in the future.</w:t>
      </w:r>
    </w:p>
    <w:p>
      <w:pPr>
        <w:spacing w:after="0" w:line="184" w:lineRule="exact"/>
        <w:rPr>
          <w:sz w:val="20"/>
          <w:szCs w:val="20"/>
          <w:color w:val="auto"/>
        </w:rPr>
      </w:pPr>
    </w:p>
    <w:p>
      <w:pPr>
        <w:ind w:firstLine="646"/>
        <w:spacing w:after="0" w:line="252" w:lineRule="auto"/>
        <w:rPr>
          <w:sz w:val="20"/>
          <w:szCs w:val="20"/>
          <w:color w:val="auto"/>
        </w:rPr>
      </w:pPr>
      <w:r>
        <w:rPr>
          <w:rFonts w:ascii="Times New Roman" w:cs="Times New Roman" w:eastAsia="Times New Roman" w:hAnsi="Times New Roman"/>
          <w:sz w:val="18"/>
          <w:szCs w:val="18"/>
          <w:color w:val="auto"/>
        </w:rPr>
        <w:t>Our competitors also may compete with us in recruiting and retaining qualified scientific and management personnel, in establishing clinical trial sites and enrolling subjects for our clinical trials and in acquiring technologies complementary to, or necessary for, our programs. In addition, competitors may have higher name recognition and more extensive collaborative relationships. Mergers and acquisitions in the pharmaceutical, biotechnology and diagnostic industries may result in even more resources being concentrated among a smaller number of competitors. Smaller or emerging earlier stage companies may also prove to be significant competitors, particularly if they have collaborations with larger, established companies. Competitors in the OSA drug development space include Apnimed, Inc. and Desitin Arzneimittel GmbH. A number of companies are developing drug candidates intended for the treatment of GAD, including Cybin Inc., Otsuka Pharmaceutical Development &amp; Commercialization, Inc., Sunovion Pharmaceuticals Inc., Mind Medicine Inc., and others. Competitors working on novel biopharmaceuticals focused on modulation of the serotonin and dopamine systems include atai Life Sciences N.V., Compass Pathways plc, GH Research plc and others. There are a large number of existing pharmaceutical companies marketing drugs for the treatment of rheumatoid arthritis, including Pfizer Inc., Abbvie Inc., Amgen Inc., Novartis AG, Boehringer Ingelheim International GmbH, Eli Lilly and Company, F. Hoffmann-La Roche AG, Bristol Myers Squibb, AstraZeneca PLC, Merck &amp; Co., Inc. While we believe we have identified the potential for IHL-675A to more effectively reduce pain and increase quality of life over these existing therapies and standard of care, IHL-675A will compete with these other therapeutic options.</w:t>
      </w:r>
    </w:p>
    <w:p>
      <w:pPr>
        <w:spacing w:after="0" w:line="192" w:lineRule="exact"/>
        <w:rPr>
          <w:sz w:val="20"/>
          <w:szCs w:val="20"/>
          <w:color w:val="auto"/>
        </w:rPr>
      </w:pPr>
    </w:p>
    <w:p>
      <w:pPr>
        <w:ind w:right="20" w:firstLine="646"/>
        <w:spacing w:after="0" w:line="252" w:lineRule="auto"/>
        <w:rPr>
          <w:sz w:val="20"/>
          <w:szCs w:val="20"/>
          <w:color w:val="auto"/>
        </w:rPr>
      </w:pPr>
      <w:r>
        <w:rPr>
          <w:rFonts w:ascii="Times New Roman" w:cs="Times New Roman" w:eastAsia="Times New Roman" w:hAnsi="Times New Roman"/>
          <w:sz w:val="18"/>
          <w:szCs w:val="18"/>
          <w:color w:val="auto"/>
        </w:rPr>
        <w:t>We are further aware that there are non-FDA approved CBD preparations being made available from companies in the medical marijuana industry, which might compete with our drug candidates. While federal law prohibits the sale and distribution of most marijuana products not approved or authorized by FDA, the vast majority of states and the District of Columbia have legalized either CBD or marijuana for either recreational or medical use, or both, and congressional efforts related to legalization of marijuana continue. Further, under the U.S. Farm Bill, enacted in late 2018, certain extracts and other material derived from cannabis are no longer controlled under the federal Controlled Substances Act of 1970 (“CSA”). However, the marketing of such products as a food, dietary supplement, or for medical purposes remains subject to FDA requirements. With respect to the marketing of CBD as a food or dietary supplement, in January 2023, the FDA concluded that the existing regulatory frameworks for foods and supplements were not appropriate for CBD products and denied three citizen petitions that had asked the agency to conduct rulemaking to allow the marketing of CBD products as dietary supplements. In addition, Congressional efforts related to legalization of marijuana continue. Although our business is distinct from that of entities marketing FDA-unapproved marijuana and CBD-containing dietary supplement, future enacted legislation or federal government action authorizing the sale, distribution, use, and insurance reimbursement of non-FDA approved marijuana or CBD products could increase competition for and adversely affect our ability to generate sales from our drug candidates.</w:t>
      </w:r>
    </w:p>
    <w:p>
      <w:pPr>
        <w:spacing w:after="0" w:line="193" w:lineRule="exact"/>
        <w:rPr>
          <w:sz w:val="20"/>
          <w:szCs w:val="20"/>
          <w:color w:val="auto"/>
        </w:rPr>
      </w:pPr>
    </w:p>
    <w:p>
      <w:pPr>
        <w:ind w:right="60" w:firstLine="646"/>
        <w:spacing w:after="0" w:line="260" w:lineRule="auto"/>
        <w:rPr>
          <w:sz w:val="20"/>
          <w:szCs w:val="20"/>
          <w:color w:val="auto"/>
        </w:rPr>
      </w:pPr>
      <w:r>
        <w:rPr>
          <w:rFonts w:ascii="Times New Roman" w:cs="Times New Roman" w:eastAsia="Times New Roman" w:hAnsi="Times New Roman"/>
          <w:sz w:val="18"/>
          <w:szCs w:val="18"/>
          <w:color w:val="auto"/>
        </w:rPr>
        <w:t>We are also aware that a number of companies are increasing their efforts in discovery of non-traditional alternative compounds including psychedelics. A number of for-profit biotechnology companies or institutions are specifically pursuing the development of psilocybin to treat mental health illnesses. There are also other organizations or institutions evaluating the use of psilocybin in mental health and neurocognitive conditions. In addition, there are various companies exploring other psychedelic compounds for the treatment of mental health and neurocognitive conditions.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Authorities</w:t>
      </w:r>
    </w:p>
    <w:p>
      <w:pPr>
        <w:spacing w:after="0" w:line="228" w:lineRule="exact"/>
        <w:rPr>
          <w:sz w:val="20"/>
          <w:szCs w:val="20"/>
          <w:color w:val="auto"/>
        </w:rPr>
      </w:pPr>
    </w:p>
    <w:p>
      <w:pPr>
        <w:ind w:right="140" w:firstLine="646"/>
        <w:spacing w:after="0" w:line="257" w:lineRule="auto"/>
        <w:rPr>
          <w:sz w:val="20"/>
          <w:szCs w:val="20"/>
          <w:color w:val="auto"/>
        </w:rPr>
      </w:pPr>
      <w:r>
        <w:rPr>
          <w:rFonts w:ascii="Times New Roman" w:cs="Times New Roman" w:eastAsia="Times New Roman" w:hAnsi="Times New Roman"/>
          <w:sz w:val="18"/>
          <w:szCs w:val="18"/>
          <w:color w:val="auto"/>
        </w:rPr>
        <w:t>The research, development, testing, manufacture, quality control, approval, labeling, packaging, storage, recordkeeping, promotion, advertising, distribution, marketing, sales, among other things, of drug products are extensively regulated by governmental authorities in the United States and other countries. We, along with our third-party contractors, will be required to navigate the various preclinical, clinical and commercial approval and post-approval requirements of the governing regulatory agencies of the countries in which we wish to conduct studies or seek approval or licensure of our drug candidates.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Government Regulation of Drug Products</w:t>
      </w:r>
    </w:p>
    <w:p>
      <w:pPr>
        <w:spacing w:after="0" w:line="226" w:lineRule="exact"/>
        <w:rPr>
          <w:sz w:val="20"/>
          <w:szCs w:val="20"/>
          <w:color w:val="auto"/>
        </w:rPr>
      </w:pPr>
    </w:p>
    <w:p>
      <w:pPr>
        <w:ind w:firstLine="646"/>
        <w:spacing w:after="0" w:line="260" w:lineRule="auto"/>
        <w:rPr>
          <w:sz w:val="20"/>
          <w:szCs w:val="20"/>
          <w:color w:val="auto"/>
        </w:rPr>
      </w:pPr>
      <w:r>
        <w:rPr>
          <w:rFonts w:ascii="Times New Roman" w:cs="Times New Roman" w:eastAsia="Times New Roman" w:hAnsi="Times New Roman"/>
          <w:sz w:val="18"/>
          <w:szCs w:val="18"/>
          <w:color w:val="auto"/>
        </w:rPr>
        <w:t>In the United States, the FDA regulates drugs under the Federal Food, Drug, and Cosmetic Act (“FDCA”) and its implementing regulations, which govern, among other things, pharmaceutical product quality, safety, efficacy, development, manufacturing, testing, packaging, labeling, storage, recordkeeping, advertising and promotion. In addition, controlled substances, like synthetic cannabidiol, THC, and psilocybin, as well as security, recordkeeping, storage, manufacturing, distribution, and importation, among other things, are regulated by the Drug Enforcement Administration (“DEA”).</w:t>
      </w:r>
    </w:p>
    <w:p>
      <w:pPr>
        <w:spacing w:after="0" w:line="181" w:lineRule="exact"/>
        <w:rPr>
          <w:sz w:val="20"/>
          <w:szCs w:val="20"/>
          <w:color w:val="auto"/>
        </w:rPr>
      </w:pPr>
    </w:p>
    <w:p>
      <w:pPr>
        <w:ind w:right="60" w:firstLine="646"/>
        <w:spacing w:after="0" w:line="257" w:lineRule="auto"/>
        <w:rPr>
          <w:sz w:val="20"/>
          <w:szCs w:val="20"/>
          <w:color w:val="auto"/>
        </w:rPr>
      </w:pPr>
      <w:r>
        <w:rPr>
          <w:rFonts w:ascii="Times New Roman" w:cs="Times New Roman" w:eastAsia="Times New Roman" w:hAnsi="Times New Roman"/>
          <w:sz w:val="18"/>
          <w:szCs w:val="18"/>
          <w:color w:val="auto"/>
        </w:rPr>
        <w:t>The process of obtaining required authorizations from FDA or DEA and achieving and maintaining compliance with applicable laws and regulations requires the expenditure of substantial time and financial resources. Failure to comply with applicable FDA or other requirements may result in refusal to approve pending applications, imposition of clinical holds on ongoing trials, warning letters, civil or criminal penalties, recall or seizure of products, partial or total suspension of production or distribution, or withdrawal of the product from the market. FDA approval is required before any new drug, including any new indication for a previously approved drug, can be marketed in the United States.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steps required before a drug may be marketed in the United States generally include the following:</w:t>
      </w:r>
    </w:p>
    <w:p>
      <w:pPr>
        <w:spacing w:after="0" w:line="224" w:lineRule="exact"/>
        <w:rPr>
          <w:sz w:val="20"/>
          <w:szCs w:val="20"/>
          <w:color w:val="auto"/>
        </w:rPr>
      </w:pPr>
    </w:p>
    <w:p>
      <w:pPr>
        <w:ind w:left="980" w:right="440" w:hanging="326"/>
        <w:spacing w:after="0" w:line="281"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preclinical laboratory tests, potentially including animal studies, and formulation studies in accordance with the FDA’s good laboratory practice (“GLP”) regulations and other applicable regulations;</w:t>
      </w:r>
    </w:p>
    <w:p>
      <w:pPr>
        <w:spacing w:after="0" w:line="161"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to support human clinical testing, which must become effective before human clinical trials may begin;</w:t>
      </w:r>
    </w:p>
    <w:p>
      <w:pPr>
        <w:spacing w:after="0" w:line="224" w:lineRule="exact"/>
        <w:rPr>
          <w:rFonts w:ascii="Times New Roman" w:cs="Times New Roman" w:eastAsia="Times New Roman" w:hAnsi="Times New Roman"/>
          <w:sz w:val="18"/>
          <w:szCs w:val="18"/>
          <w:color w:val="auto"/>
        </w:rPr>
      </w:pPr>
    </w:p>
    <w:p>
      <w:pPr>
        <w:ind w:left="980" w:right="620" w:hanging="326"/>
        <w:spacing w:after="0" w:line="281"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from the DEA prior to commencement of any clinical trials in the United States that involve the use of Schedule I controlled substances, which would include our lead drug candidates, IHL-42X, PSX-001 and IHL- 675A;</w:t>
      </w:r>
    </w:p>
    <w:p>
      <w:pPr>
        <w:spacing w:after="0" w:line="161" w:lineRule="exact"/>
        <w:rPr>
          <w:rFonts w:ascii="Times New Roman" w:cs="Times New Roman" w:eastAsia="Times New Roman" w:hAnsi="Times New Roman"/>
          <w:sz w:val="18"/>
          <w:szCs w:val="18"/>
          <w:color w:val="auto"/>
        </w:rPr>
      </w:pPr>
    </w:p>
    <w:p>
      <w:pPr>
        <w:ind w:left="980" w:right="240" w:hanging="326"/>
        <w:spacing w:after="0" w:line="281"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authorization from an independent institutional review board (“IRB”) or ethics committee at each clinical trial site before each clinical trial may be initiated;</w:t>
      </w:r>
    </w:p>
    <w:p>
      <w:pPr>
        <w:spacing w:after="0" w:line="161" w:lineRule="exact"/>
        <w:rPr>
          <w:rFonts w:ascii="Times New Roman" w:cs="Times New Roman" w:eastAsia="Times New Roman" w:hAnsi="Times New Roman"/>
          <w:sz w:val="18"/>
          <w:szCs w:val="18"/>
          <w:color w:val="auto"/>
        </w:rPr>
      </w:pPr>
    </w:p>
    <w:p>
      <w:pPr>
        <w:jc w:val="both"/>
        <w:ind w:left="980" w:right="460" w:hanging="326"/>
        <w:spacing w:after="0" w:line="265"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applicable IND regulations, good clinical practice (“GCP”) requirements, and other clinical-trial related regulations to establish the safety and efficacy of the investigational drug for each proposed indication;</w:t>
      </w:r>
    </w:p>
    <w:p>
      <w:pPr>
        <w:spacing w:after="0" w:line="176"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 for marketing approval, including payment of application user fees;</w:t>
      </w:r>
    </w:p>
    <w:p>
      <w:pPr>
        <w:spacing w:after="0" w:line="223" w:lineRule="exact"/>
        <w:rPr>
          <w:rFonts w:ascii="Times New Roman" w:cs="Times New Roman" w:eastAsia="Times New Roman" w:hAnsi="Times New Roman"/>
          <w:sz w:val="18"/>
          <w:szCs w:val="18"/>
          <w:color w:val="auto"/>
        </w:rPr>
      </w:pPr>
    </w:p>
    <w:p>
      <w:pPr>
        <w:ind w:left="980" w:right="40" w:hanging="326"/>
        <w:spacing w:after="0" w:line="265"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facility or facilities at which the API and finished drug product are produced and tested to assess compliance with cGMP requirements to assure that the facilities, methods and controls are adequate to preserve the product’s identity, strength, quality and purity;</w:t>
      </w:r>
    </w:p>
    <w:p>
      <w:pPr>
        <w:spacing w:after="0" w:line="176" w:lineRule="exact"/>
        <w:rPr>
          <w:rFonts w:ascii="Times New Roman" w:cs="Times New Roman" w:eastAsia="Times New Roman" w:hAnsi="Times New Roman"/>
          <w:sz w:val="18"/>
          <w:szCs w:val="18"/>
          <w:color w:val="auto"/>
        </w:rPr>
      </w:pPr>
    </w:p>
    <w:p>
      <w:pPr>
        <w:ind w:left="980" w:right="160" w:hanging="326"/>
        <w:spacing w:after="0" w:line="281"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clinical trial sites to assure compliance with IND regulations and GCP requirements and to assure the integrity of the clinical data submitted in support of the NDA;</w:t>
      </w:r>
    </w:p>
    <w:p>
      <w:pPr>
        <w:spacing w:after="0" w:line="161"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advisory committee review, if applicable; and</w:t>
      </w:r>
    </w:p>
    <w:p>
      <w:pPr>
        <w:spacing w:after="0" w:line="223" w:lineRule="exact"/>
        <w:rPr>
          <w:rFonts w:ascii="Times New Roman" w:cs="Times New Roman" w:eastAsia="Times New Roman" w:hAnsi="Times New Roman"/>
          <w:sz w:val="18"/>
          <w:szCs w:val="18"/>
          <w:color w:val="auto"/>
        </w:rPr>
      </w:pPr>
    </w:p>
    <w:p>
      <w:pPr>
        <w:ind w:left="980" w:right="260" w:hanging="326"/>
        <w:spacing w:after="0" w:line="281"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NDA/Biologics Licensing Application (“BLA”) and DEA scheduling (for a controlled substance) prior to any commercial marketing or sale of the drug in the United States.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Development</w:t>
      </w:r>
    </w:p>
    <w:p>
      <w:pPr>
        <w:spacing w:after="0" w:line="226" w:lineRule="exact"/>
        <w:rPr>
          <w:sz w:val="20"/>
          <w:szCs w:val="20"/>
          <w:color w:val="auto"/>
        </w:rPr>
      </w:pPr>
    </w:p>
    <w:p>
      <w:pPr>
        <w:ind w:right="120" w:firstLine="646"/>
        <w:spacing w:after="0" w:line="265" w:lineRule="auto"/>
        <w:rPr>
          <w:sz w:val="20"/>
          <w:szCs w:val="20"/>
          <w:color w:val="auto"/>
        </w:rPr>
      </w:pPr>
      <w:r>
        <w:rPr>
          <w:rFonts w:ascii="Times New Roman" w:cs="Times New Roman" w:eastAsia="Times New Roman" w:hAnsi="Times New Roman"/>
          <w:sz w:val="18"/>
          <w:szCs w:val="18"/>
          <w:color w:val="auto"/>
        </w:rPr>
        <w:t>Before any drug candidate may be tested in humans, it must undergo rigorous preclinical testing. Preclinical tests generally include laboratory evaluations of a drug candidate’s chemical and biological activities, formulation and stability, as well as studies to evaluate toxicity and potential for other adverse events, which support subsequent clinical testing and rationale for therapeutic use.</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00"/>
          </w:cols>
          <w:pgMar w:left="320" w:top="871" w:right="379" w:bottom="1440" w:gutter="0" w:footer="0" w:header="0"/>
        </w:sectPr>
      </w:pPr>
    </w:p>
    <w:bookmarkStart w:id="18" w:name="page19"/>
    <w:bookmarkEnd w:id="18"/>
    <w:p>
      <w:pPr>
        <w:ind w:firstLine="646"/>
        <w:spacing w:after="0" w:line="257" w:lineRule="auto"/>
        <w:rPr>
          <w:sz w:val="20"/>
          <w:szCs w:val="20"/>
          <w:color w:val="auto"/>
        </w:rPr>
      </w:pPr>
      <w:r>
        <w:rPr>
          <w:rFonts w:ascii="Times New Roman" w:cs="Times New Roman" w:eastAsia="Times New Roman" w:hAnsi="Times New Roman"/>
          <w:sz w:val="18"/>
          <w:szCs w:val="18"/>
          <w:color w:val="auto"/>
        </w:rPr>
        <w:t xml:space="preserve">The Consolidated Appropriations Act for 2023, signed into law on December 29, 2022, (P.L. 117-328) amended both the FDCA and Public Health Service Act to specify that nonclinical testing for drugs and biologics, respectively, may, but is not required to, include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animal testing. According to the amended language, a sponsor may fulfill nonclinical testing requirements by completing various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assays (e.g., cell-based assays, organ chips, or microphysiological systems), </w:t>
      </w:r>
      <w:r>
        <w:rPr>
          <w:rFonts w:ascii="Times New Roman" w:cs="Times New Roman" w:eastAsia="Times New Roman" w:hAnsi="Times New Roman"/>
          <w:sz w:val="18"/>
          <w:szCs w:val="18"/>
          <w:i w:val="1"/>
          <w:iCs w:val="1"/>
          <w:color w:val="auto"/>
        </w:rPr>
        <w:t>in silico</w:t>
      </w:r>
      <w:r>
        <w:rPr>
          <w:rFonts w:ascii="Times New Roman" w:cs="Times New Roman" w:eastAsia="Times New Roman" w:hAnsi="Times New Roman"/>
          <w:sz w:val="18"/>
          <w:szCs w:val="18"/>
          <w:color w:val="auto"/>
        </w:rPr>
        <w:t xml:space="preserve"> studies (i.e., computer modeling), other human or non-human biology-based tests (e.g., bioprinting), or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animal tests.</w:t>
      </w:r>
    </w:p>
    <w:p>
      <w:pPr>
        <w:spacing w:after="0" w:line="185" w:lineRule="exact"/>
        <w:rPr>
          <w:sz w:val="20"/>
          <w:szCs w:val="20"/>
          <w:color w:val="auto"/>
        </w:rPr>
      </w:pPr>
    </w:p>
    <w:p>
      <w:pPr>
        <w:ind w:right="100" w:firstLine="646"/>
        <w:spacing w:after="0" w:line="255" w:lineRule="auto"/>
        <w:rPr>
          <w:sz w:val="20"/>
          <w:szCs w:val="20"/>
          <w:color w:val="auto"/>
        </w:rPr>
      </w:pPr>
      <w:r>
        <w:rPr>
          <w:rFonts w:ascii="Times New Roman" w:cs="Times New Roman" w:eastAsia="Times New Roman" w:hAnsi="Times New Roman"/>
          <w:sz w:val="18"/>
          <w:szCs w:val="18"/>
          <w:color w:val="auto"/>
        </w:rPr>
        <w:t>The results of preclinical tests, together with manufacturing information and analytical data, are submitted as part of an IND to the FDA. An IND is a request for authorization from the FDA to administer an investigational product to humans and must become effective before human clinical trials may begin. A 30-day waiting period after the submission of each IND is required before commencement of clinical testing in humans.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 Clinical holds may also be imposed by the FDA at any time before or during clinical trials due to safety concerns or non-compliance.</w:t>
      </w:r>
    </w:p>
    <w:p>
      <w:pPr>
        <w:spacing w:after="0" w:line="184" w:lineRule="exact"/>
        <w:rPr>
          <w:sz w:val="20"/>
          <w:szCs w:val="20"/>
          <w:color w:val="auto"/>
        </w:rPr>
      </w:pPr>
    </w:p>
    <w:p>
      <w:pPr>
        <w:ind w:right="160" w:firstLine="646"/>
        <w:spacing w:after="0" w:line="254" w:lineRule="auto"/>
        <w:rPr>
          <w:sz w:val="20"/>
          <w:szCs w:val="20"/>
          <w:color w:val="auto"/>
        </w:rPr>
      </w:pPr>
      <w:r>
        <w:rPr>
          <w:rFonts w:ascii="Times New Roman" w:cs="Times New Roman" w:eastAsia="Times New Roman" w:hAnsi="Times New Roman"/>
          <w:sz w:val="18"/>
          <w:szCs w:val="18"/>
          <w:color w:val="auto"/>
        </w:rPr>
        <w:t>A clinical trial involves the administration of the investigational drug candidate to patients under the supervision of qualified investigators following GCP standards, which include the requirement that all research subjects provide their informed consent in writing for their participation in any clinical trial (unless the consent requirement has been waived by an IRB) along with the requirement to ensure that the data and results reported from the clinical trials are credible and accurate. GCP requirements are meant to protect the rights and health of patients and to define the roles of clinical trial sponsors, administrators and monitors. A clinical trial is conducted under a protocol that details, among other things, the objectives of the trial, the criteria for determining subject eligibility, the dosing plan, the parameters to be used in monitoring safety, the procedure for timely reporting of AEs, and the efficacy criteria to be evaluated. Each protocol involving testing on U.S. patients and subsequent protocol amendments must be submitted to the FDA as part of the IND.</w:t>
      </w:r>
    </w:p>
    <w:p>
      <w:pPr>
        <w:spacing w:after="0" w:line="187" w:lineRule="exact"/>
        <w:rPr>
          <w:sz w:val="20"/>
          <w:szCs w:val="20"/>
          <w:color w:val="auto"/>
        </w:rPr>
      </w:pPr>
    </w:p>
    <w:p>
      <w:pPr>
        <w:ind w:right="20" w:firstLine="646"/>
        <w:spacing w:after="0" w:line="260" w:lineRule="auto"/>
        <w:rPr>
          <w:sz w:val="20"/>
          <w:szCs w:val="20"/>
          <w:color w:val="auto"/>
        </w:rPr>
      </w:pPr>
      <w:r>
        <w:rPr>
          <w:rFonts w:ascii="Times New Roman" w:cs="Times New Roman" w:eastAsia="Times New Roman" w:hAnsi="Times New Roman"/>
          <w:sz w:val="18"/>
          <w:szCs w:val="18"/>
          <w:color w:val="auto"/>
        </w:rPr>
        <w:t>Further, an IRB representing each institution that is participating in the clinical trial must review and approve the plan for any clinical trial before it commences at that institution, and the IRB must thereafter conduct a continuing review and re-approve the trial at least annually until completion. The IRB must review and approve, among other things, the trial protocol and informed consent information to be provided to clinical trial subjects. An IRB must operate in compliance with FDA regulations.</w:t>
      </w:r>
    </w:p>
    <w:p>
      <w:pPr>
        <w:spacing w:after="0" w:line="181" w:lineRule="exact"/>
        <w:rPr>
          <w:sz w:val="20"/>
          <w:szCs w:val="20"/>
          <w:color w:val="auto"/>
        </w:rPr>
      </w:pPr>
    </w:p>
    <w:p>
      <w:pPr>
        <w:ind w:firstLine="646"/>
        <w:spacing w:after="0" w:line="253" w:lineRule="auto"/>
        <w:rPr>
          <w:sz w:val="20"/>
          <w:szCs w:val="20"/>
          <w:color w:val="auto"/>
        </w:rPr>
      </w:pPr>
      <w:r>
        <w:rPr>
          <w:rFonts w:ascii="Times New Roman" w:cs="Times New Roman" w:eastAsia="Times New Roman" w:hAnsi="Times New Roman"/>
          <w:sz w:val="18"/>
          <w:szCs w:val="18"/>
          <w:color w:val="auto"/>
        </w:rPr>
        <w:t>Information about certain clinical trials, including details of the protocol and eventually study results, also must be submitted within specific time frames to the National Institutes of Health (“NIH”), for public dissemination on the ClinicalTrials.gov data registry. Information related to the product, patient population, phase of investigation, study sites and investigators and other aspects of the clinical trial is made public as part of the registration of the clinical trial. Sponsors are also obligated to disclose the results of their clinical trials after completion. Disclosure of the results of these trials can be delayed in some cases for up to two years after the date of completion of the trial. Failure to timely register a covered clinical study or to submit study results as provided for in the law can give rise to civil monetary penalties and also prevent the non-compliant party from receiving future grant funds from the federal government. The U.S. Department of Health and Human Services’ Final Rule and NIH’s complementary policy on ClinicalTrials.gov registration and reporting requirements became effective in 2017, and the government has brought enforcement against clinical trial sponsors that fail to comply with such requirements.</w:t>
      </w:r>
    </w:p>
    <w:p>
      <w:pPr>
        <w:spacing w:after="0" w:line="191" w:lineRule="exact"/>
        <w:rPr>
          <w:sz w:val="20"/>
          <w:szCs w:val="20"/>
          <w:color w:val="auto"/>
        </w:rPr>
      </w:pPr>
    </w:p>
    <w:p>
      <w:pPr>
        <w:ind w:right="100" w:firstLine="646"/>
        <w:spacing w:after="0" w:line="281" w:lineRule="auto"/>
        <w:rPr>
          <w:sz w:val="20"/>
          <w:szCs w:val="20"/>
          <w:color w:val="auto"/>
        </w:rPr>
      </w:pPr>
      <w:r>
        <w:rPr>
          <w:rFonts w:ascii="Times New Roman" w:cs="Times New Roman" w:eastAsia="Times New Roman" w:hAnsi="Times New Roman"/>
          <w:sz w:val="18"/>
          <w:szCs w:val="18"/>
          <w:color w:val="auto"/>
        </w:rPr>
        <w:t>For purposes of supporting NDA submission and approval, human clinical trials are typically conducted in the following sequential phases, which may overlap:</w:t>
      </w:r>
    </w:p>
    <w:p>
      <w:pPr>
        <w:spacing w:after="0" w:line="162" w:lineRule="exact"/>
        <w:rPr>
          <w:sz w:val="20"/>
          <w:szCs w:val="20"/>
          <w:color w:val="auto"/>
        </w:rPr>
      </w:pPr>
    </w:p>
    <w:p>
      <w:pPr>
        <w:ind w:left="980" w:right="220" w:hanging="326"/>
        <w:spacing w:after="0" w:line="265"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Trials are initially conducted in a limited population of healthy human subjects to test the drug candidate for safety, dose tolerance, absorption, metabolism, distribution, and excretion of the investigational product, the side effects associated with increasing doses, and, if possible, to gain early evidence on effectiveness.</w:t>
      </w:r>
    </w:p>
    <w:p>
      <w:pPr>
        <w:spacing w:after="0" w:line="176" w:lineRule="exact"/>
        <w:rPr>
          <w:rFonts w:ascii="Times New Roman" w:cs="Times New Roman" w:eastAsia="Times New Roman" w:hAnsi="Times New Roman"/>
          <w:sz w:val="18"/>
          <w:szCs w:val="18"/>
          <w:color w:val="auto"/>
        </w:rPr>
      </w:pPr>
    </w:p>
    <w:p>
      <w:pPr>
        <w:jc w:val="both"/>
        <w:ind w:left="980" w:right="180" w:hanging="326"/>
        <w:spacing w:after="0" w:line="265"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The investigational product is administered to a limited patient population with a specified disease or condition to identify possible adverse side effects and safety risks and to evaluate the preliminary efficacy, optimal dosages and dosing schedule. Multiple Phase 2 clinical trials may be conducted to obtain information prior to beginning larger and more expensive Phase 3 clinical trials.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9" w:name="page20"/>
    <w:bookmarkEnd w:id="19"/>
    <w:p>
      <w:pPr>
        <w:ind w:left="980" w:hanging="326"/>
        <w:spacing w:after="0" w:line="257"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The investigational product is administered to an expanded patient population in adequate and well-controlled studies to further evaluate dosage, clinical efficacy and safety, generally at multiple geographically dispersed clinical trial sites. These clinical trials are intended to establish the overall risk/benefit relationship of the investigational product and to provide, if appropriate, an adequate basis for product labeling. These trials may include comparisons with placebo and/or other comparator treatments. The duration of treatment is often extended to mimic the actual use of a product during marketing.</w:t>
      </w:r>
    </w:p>
    <w:p>
      <w:pPr>
        <w:spacing w:after="0" w:line="184" w:lineRule="exact"/>
        <w:rPr>
          <w:rFonts w:ascii="Times New Roman" w:cs="Times New Roman" w:eastAsia="Times New Roman" w:hAnsi="Times New Roman"/>
          <w:sz w:val="18"/>
          <w:szCs w:val="18"/>
          <w:color w:val="auto"/>
        </w:rPr>
      </w:pPr>
    </w:p>
    <w:p>
      <w:pPr>
        <w:ind w:left="980" w:right="280" w:hanging="326"/>
        <w:spacing w:after="0" w:line="265"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4: Additional trials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w:t>
      </w:r>
    </w:p>
    <w:p>
      <w:pPr>
        <w:spacing w:after="0" w:line="176" w:lineRule="exact"/>
        <w:rPr>
          <w:sz w:val="20"/>
          <w:szCs w:val="20"/>
          <w:color w:val="auto"/>
        </w:rPr>
      </w:pPr>
    </w:p>
    <w:p>
      <w:pPr>
        <w:ind w:right="60" w:firstLine="646"/>
        <w:spacing w:after="0" w:line="256" w:lineRule="auto"/>
        <w:rPr>
          <w:sz w:val="20"/>
          <w:szCs w:val="20"/>
          <w:color w:val="auto"/>
        </w:rPr>
      </w:pPr>
      <w:r>
        <w:rPr>
          <w:rFonts w:ascii="Times New Roman" w:cs="Times New Roman" w:eastAsia="Times New Roman" w:hAnsi="Times New Roman"/>
          <w:sz w:val="18"/>
          <w:szCs w:val="18"/>
          <w:color w:val="auto"/>
        </w:rPr>
        <w:t>Concurrent with clinical trials, sponsors usually complete additional nonclinical studies and must also develop additional information about the product and finalize a process for manufacturing the product in commercial quantities in accordance with cGMP requirements. The manufacturing process must be capable of consistently producing quality batches of the drug candidate and, among other things, the manufacturer must develop and validate methods for testing the identity, strength, quality and purity of the final product. Moreover, appropriate packaging must be selected and tested, and stability studies must be conducted to assure product integrity and demonstrate that the drug candidate does not undergo unacceptable deterioration over its shelf life.</w:t>
      </w:r>
    </w:p>
    <w:p>
      <w:pPr>
        <w:spacing w:after="0" w:line="184" w:lineRule="exact"/>
        <w:rPr>
          <w:sz w:val="20"/>
          <w:szCs w:val="20"/>
          <w:color w:val="auto"/>
        </w:rPr>
      </w:pPr>
    </w:p>
    <w:p>
      <w:pPr>
        <w:ind w:right="100" w:firstLine="646"/>
        <w:spacing w:after="0" w:line="255" w:lineRule="auto"/>
        <w:rPr>
          <w:sz w:val="20"/>
          <w:szCs w:val="20"/>
          <w:color w:val="auto"/>
        </w:rPr>
      </w:pPr>
      <w:r>
        <w:rPr>
          <w:rFonts w:ascii="Times New Roman" w:cs="Times New Roman" w:eastAsia="Times New Roman" w:hAnsi="Times New Roman"/>
          <w:sz w:val="18"/>
          <w:szCs w:val="18"/>
          <w:color w:val="auto"/>
        </w:rPr>
        <w:t>Congress recently amended the FDCA, as part of the Consolidated Appropriations Act for 2023, in order to require sponsors of a Phase 3 clinical trial, or other “pivotal study” of a new drug to support marketing authorization, to design and submit a diversity action plan for such clinical trial. The action plan must include the sponsor’s diversity goals for enrollment, as well as a rationale for the goals and a description of how the sponsor will meet them. Sponsors must submit a diversity action plan to the FDA by the time the sponsor submits the relevant clinical trial protocol to the agency for review. The FDA may grant a waiver for some or all of the requirements for a diversity action plan. It is unknown at this time how the diversity action plan may affect Phase 3 trial planning and timing or what specific information FDA will expect in such plans, but if the FDA objects to a sponsor’s diversity action plan, it may delay trial initiation.</w:t>
      </w:r>
    </w:p>
    <w:p>
      <w:pPr>
        <w:spacing w:after="0" w:line="184" w:lineRule="exact"/>
        <w:rPr>
          <w:sz w:val="20"/>
          <w:szCs w:val="20"/>
          <w:color w:val="auto"/>
        </w:rPr>
      </w:pPr>
    </w:p>
    <w:p>
      <w:pPr>
        <w:ind w:firstLine="646"/>
        <w:spacing w:after="0" w:line="257" w:lineRule="auto"/>
        <w:rPr>
          <w:sz w:val="20"/>
          <w:szCs w:val="20"/>
          <w:color w:val="auto"/>
        </w:rPr>
      </w:pPr>
      <w:r>
        <w:rPr>
          <w:rFonts w:ascii="Times New Roman" w:cs="Times New Roman" w:eastAsia="Times New Roman" w:hAnsi="Times New Roman"/>
          <w:sz w:val="18"/>
          <w:szCs w:val="18"/>
          <w:color w:val="auto"/>
        </w:rPr>
        <w:t>Progress reports detailing the results of the clinical trials must be submitted at least annually to the FDA and more frequently if serious adverse events occur. The FDA or the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clinical protocol, GCP, or other IRB requirements or if the drug has been associated with unexpected serious harm to patients.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Application Submission and FDA Review</w:t>
      </w:r>
    </w:p>
    <w:p>
      <w:pPr>
        <w:spacing w:after="0" w:line="226" w:lineRule="exact"/>
        <w:rPr>
          <w:sz w:val="20"/>
          <w:szCs w:val="20"/>
          <w:color w:val="auto"/>
        </w:rPr>
      </w:pPr>
    </w:p>
    <w:p>
      <w:pPr>
        <w:ind w:right="60" w:firstLine="646"/>
        <w:spacing w:after="0" w:line="253" w:lineRule="auto"/>
        <w:rPr>
          <w:sz w:val="20"/>
          <w:szCs w:val="20"/>
          <w:color w:val="auto"/>
        </w:rPr>
      </w:pPr>
      <w:r>
        <w:rPr>
          <w:rFonts w:ascii="Times New Roman" w:cs="Times New Roman" w:eastAsia="Times New Roman" w:hAnsi="Times New Roman"/>
          <w:sz w:val="18"/>
          <w:szCs w:val="18"/>
          <w:color w:val="auto"/>
        </w:rPr>
        <w:t>Assuming successful completion of the required clinical testing, the results the preclinical studies and clinical trials, along with the information relating to the product’s chemistry, manufacturing and controls and proposed labeling, are submitted to the FDA as part of an NDA requesting approval to market the product for one or more indications. The NDA must contain proof of the drug candidate’s safety and substantial evidence of effectiveness for its proposed indication or indications in the form of relevant data available from pertinent preclinical and clinical studies, including negative or ambiguous results as well as positive findings, together with detailed information relating to the product’s chemistry, manufacturing, controls, and proposed labeling, among other things. In particular, a marketing application must demonstrate that the manufacturing methods and quality controls used to produce the drug product are adequate to preserve the drug’s identity, strength, quality, and purity. Data can come from company-sponsored clinical trials intended to test the safety and effectiveness of a use of the product, or from a number of alternative sources, including studies initiated by investigators. FDA approval of an NDA must be obtained before the corresponding drug may be marketed in the United States.</w:t>
      </w:r>
    </w:p>
    <w:p>
      <w:pPr>
        <w:spacing w:after="0" w:line="191" w:lineRule="exact"/>
        <w:rPr>
          <w:sz w:val="20"/>
          <w:szCs w:val="20"/>
          <w:color w:val="auto"/>
        </w:rPr>
      </w:pPr>
    </w:p>
    <w:p>
      <w:pPr>
        <w:ind w:right="20" w:firstLine="646"/>
        <w:spacing w:after="0" w:line="260" w:lineRule="auto"/>
        <w:rPr>
          <w:sz w:val="20"/>
          <w:szCs w:val="20"/>
          <w:color w:val="auto"/>
        </w:rPr>
      </w:pPr>
      <w:r>
        <w:rPr>
          <w:rFonts w:ascii="Times New Roman" w:cs="Times New Roman" w:eastAsia="Times New Roman" w:hAnsi="Times New Roman"/>
          <w:sz w:val="18"/>
          <w:szCs w:val="18"/>
          <w:color w:val="auto"/>
        </w:rPr>
        <w:t>Under the Prescription Drug User Fee Act (“PDUFA”), each NDA submission is subject to a substantial application user fee, and the sponsor of an approved NDA is also subject to an annual program fee. The FDA adjusts the PDUFA user fees on an annual basis. The application user fee must be paid at the time of the first submission of the application, even if the application is being submitted on a rolling basis. Fee waivers or reductions are available in certain circumstances, including a waiver of the application fee for the first application filed by a small business.</w:t>
      </w:r>
    </w:p>
    <w:p>
      <w:pPr>
        <w:spacing w:after="0" w:line="181" w:lineRule="exact"/>
        <w:rPr>
          <w:sz w:val="20"/>
          <w:szCs w:val="20"/>
          <w:color w:val="auto"/>
        </w:rPr>
      </w:pPr>
    </w:p>
    <w:p>
      <w:pPr>
        <w:ind w:right="120" w:firstLine="646"/>
        <w:spacing w:after="0" w:line="256" w:lineRule="auto"/>
        <w:rPr>
          <w:sz w:val="20"/>
          <w:szCs w:val="20"/>
          <w:color w:val="auto"/>
        </w:rPr>
      </w:pPr>
      <w:r>
        <w:rPr>
          <w:rFonts w:ascii="Times New Roman" w:cs="Times New Roman" w:eastAsia="Times New Roman" w:hAnsi="Times New Roman"/>
          <w:sz w:val="18"/>
          <w:szCs w:val="18"/>
          <w:color w:val="auto"/>
        </w:rPr>
        <w:t>The FDA reviews all NDAs submitted to determine if they are substantially complete before it accepts them for filing and may request additional information rather than accepting a submission for filing. The FDA must make a decision on accepting an NDA for filing within 60 days of receipt and must inform the sponsor by the 74th day after the FDA’s receipt of the submission whether the application is sufficiently complete to permit substantive review. The FDA may refuse to file any submission that it deems incomplete or not properly reviewable at the time of submission and may request additional information. In this event, the marketing application must be resubmitted with the additional information requested by the agency. The resubmitted application is also subject to review before the FDA accepts it for filing.</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20" w:name="page21"/>
    <w:bookmarkEnd w:id="20"/>
    <w:p>
      <w:pPr>
        <w:ind w:right="40" w:firstLine="646"/>
        <w:spacing w:after="0" w:line="257" w:lineRule="auto"/>
        <w:rPr>
          <w:sz w:val="20"/>
          <w:szCs w:val="20"/>
          <w:color w:val="auto"/>
        </w:rPr>
      </w:pPr>
      <w:r>
        <w:rPr>
          <w:rFonts w:ascii="Times New Roman" w:cs="Times New Roman" w:eastAsia="Times New Roman" w:hAnsi="Times New Roman"/>
          <w:sz w:val="18"/>
          <w:szCs w:val="18"/>
          <w:color w:val="auto"/>
        </w:rPr>
        <w:t>Once an NDA is accepted for filing, the FDA’s goal is to review the application within ten months after it accepts the application for filing, or, if the application meets the criteria for “priority review,” six months after the FDA accepts the application for filing. The review process is often significantly extended by FDA requests for additional information or clarification after the NDA has been accepted for filing. The review process may be extended by the FDA for three additional months to consider new information or in the case of a clarification provided by the applicant to address an outstanding deficiency identified by the FDA following the original submission.</w:t>
      </w:r>
    </w:p>
    <w:p>
      <w:pPr>
        <w:spacing w:after="0" w:line="185" w:lineRule="exact"/>
        <w:rPr>
          <w:sz w:val="20"/>
          <w:szCs w:val="20"/>
          <w:color w:val="auto"/>
        </w:rPr>
      </w:pPr>
    </w:p>
    <w:p>
      <w:pPr>
        <w:ind w:firstLine="646"/>
        <w:spacing w:after="0" w:line="255" w:lineRule="auto"/>
        <w:rPr>
          <w:sz w:val="20"/>
          <w:szCs w:val="20"/>
          <w:color w:val="auto"/>
        </w:rPr>
      </w:pPr>
      <w:r>
        <w:rPr>
          <w:rFonts w:ascii="Times New Roman" w:cs="Times New Roman" w:eastAsia="Times New Roman" w:hAnsi="Times New Roman"/>
          <w:sz w:val="18"/>
          <w:szCs w:val="18"/>
          <w:color w:val="auto"/>
        </w:rPr>
        <w:t>During the review process, the FDA reviews the NDA to determine, among other things, whether the product is safe and effective and whether the facility in which it is manufactured, processed, packed, or held meets standards designed to assure the product’s continued strength, quality, and purity. The FDA may refer any NDA, including applications for novel drug candidates which present difficult questions of safety or efficacy to an advisory committee to provide clinical insight on application review questions. Typically, an advisory committee is a panel of independent experts, including clinicians and other scientific experts that reviews, evaluates and provides a recommendation as to whether the application should be approved and under what conditions. The FDA is not bound by the recommendation of an advisory committee, but it considers such recommendations carefully when making final decisions on approval.</w:t>
      </w:r>
    </w:p>
    <w:p>
      <w:pPr>
        <w:spacing w:after="0" w:line="184" w:lineRule="exact"/>
        <w:rPr>
          <w:sz w:val="20"/>
          <w:szCs w:val="20"/>
          <w:color w:val="auto"/>
        </w:rPr>
      </w:pPr>
    </w:p>
    <w:p>
      <w:pPr>
        <w:ind w:right="80" w:firstLine="646"/>
        <w:spacing w:after="0" w:line="256" w:lineRule="auto"/>
        <w:rPr>
          <w:sz w:val="20"/>
          <w:szCs w:val="20"/>
          <w:color w:val="auto"/>
        </w:rPr>
      </w:pPr>
      <w:r>
        <w:rPr>
          <w:rFonts w:ascii="Times New Roman" w:cs="Times New Roman" w:eastAsia="Times New Roman" w:hAnsi="Times New Roman"/>
          <w:sz w:val="18"/>
          <w:szCs w:val="18"/>
          <w:color w:val="auto"/>
        </w:rPr>
        <w:t>The FDA likely will re-analyze the clinical trial data, which could result in extensive discussions between the FDA and the applicant during the review process. The FDA also may require the development of a risk evaluation and mitigation strategy (“REMS”), if it determines that a REMS is necessary to ensure that the benefits of the drug outweigh its risks and to assure the safe use of the product. The REMS could include medication guides, physician communication plans, assessment plans and/or elements to assure safe use, such as restricted distribution methods, patient registries or other risk minimization tools. The FDA determines the requirement for a REMS, as well as the specific REMS provisions, on a case-by-case basis. If the FDA concludes a REMS is needed, the sponsor of the NDA must submit a proposed REMS. The FDA will not approve an NDA without a REMS, if required.</w:t>
      </w:r>
    </w:p>
    <w:p>
      <w:pPr>
        <w:spacing w:after="0" w:line="184" w:lineRule="exact"/>
        <w:rPr>
          <w:sz w:val="20"/>
          <w:szCs w:val="20"/>
          <w:color w:val="auto"/>
        </w:rPr>
      </w:pPr>
    </w:p>
    <w:p>
      <w:pPr>
        <w:ind w:firstLine="646"/>
        <w:spacing w:after="0" w:line="274" w:lineRule="auto"/>
        <w:rPr>
          <w:sz w:val="20"/>
          <w:szCs w:val="20"/>
          <w:color w:val="auto"/>
        </w:rPr>
      </w:pPr>
      <w:r>
        <w:rPr>
          <w:rFonts w:ascii="Times New Roman" w:cs="Times New Roman" w:eastAsia="Times New Roman" w:hAnsi="Times New Roman"/>
          <w:sz w:val="17"/>
          <w:szCs w:val="17"/>
          <w:color w:val="auto"/>
        </w:rPr>
        <w:t>Before approving an NDA, the FDA will typically inspect the facility or facilities where the product is manufactured. The FDA will not approve an application unless it determines that the manufacturing processes and facilities are in compliance with cGMP requirements and adequate to assure consistent manufacture of the product within required specifications. Additionally, before approving an NDA, the FDA will typically inspect one or more clinical sites to assure compliance with GCP. If the FDA determines that the application, manufacturing process or manufacturing facilities are not acceptable, it will outline the deficiencies as part of the review process and often will request additional testing or information. Notwithstanding the submission of any requested additional information, the FDA ultimately may decide that the application does not satisfy the regulatory criteria for approval.</w:t>
      </w:r>
    </w:p>
    <w:p>
      <w:pPr>
        <w:spacing w:after="0" w:line="169" w:lineRule="exact"/>
        <w:rPr>
          <w:sz w:val="20"/>
          <w:szCs w:val="20"/>
          <w:color w:val="auto"/>
        </w:rPr>
      </w:pPr>
    </w:p>
    <w:p>
      <w:pPr>
        <w:ind w:right="80" w:firstLine="646"/>
        <w:spacing w:after="0" w:line="252" w:lineRule="auto"/>
        <w:rPr>
          <w:sz w:val="20"/>
          <w:szCs w:val="20"/>
          <w:color w:val="auto"/>
        </w:rPr>
      </w:pPr>
      <w:r>
        <w:rPr>
          <w:rFonts w:ascii="Times New Roman" w:cs="Times New Roman" w:eastAsia="Times New Roman" w:hAnsi="Times New Roman"/>
          <w:sz w:val="18"/>
          <w:szCs w:val="18"/>
          <w:color w:val="auto"/>
        </w:rPr>
        <w:t>Under the Pediatric Research Equity Act (the “PREA”), amendments to the FDCA, an NDA or supplement to an NDA must contain data that are adequate to assess the safety and efficacy of the drug candidate for the claimed indications in all relevant pediatric populations and to support dosing and administration for each pediatric population for which the product is safe and effective. The FDA may grant deferrals for submission of pediatric data or full or partial waivers. The PREA requires a sponsor that is planning to submit a marketing application for a product that includes a new active ingredient, new indication, new dosage form, new dosing regimen or new route of administration to submit an initial Pediatric Study Plan (“PSP”), within 60 days of an end-of-Phase 2 meeting or, if there is no such meeting, as early as practicable before the initiation of the Phase 3 or Phase 2/3 clinical trial. The initial PSP must include an outline of the pediatric study or studies that the sponsor plans to conduct, including trial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 upon initial PSP at any time if changes to the pediatric plan need to be considered based on data collected from preclinical studies, early-phase clinical trials or other clinical development programs.</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00"/>
          </w:cols>
          <w:pgMar w:left="320" w:top="875" w:right="379" w:bottom="1440" w:gutter="0" w:footer="0" w:header="0"/>
        </w:sectPr>
      </w:pPr>
    </w:p>
    <w:bookmarkStart w:id="21" w:name="page22"/>
    <w:bookmarkEnd w:id="21"/>
    <w:p>
      <w:pPr>
        <w:ind w:right="100" w:firstLine="646"/>
        <w:spacing w:after="0" w:line="266" w:lineRule="auto"/>
        <w:rPr>
          <w:sz w:val="20"/>
          <w:szCs w:val="20"/>
          <w:color w:val="auto"/>
        </w:rPr>
      </w:pPr>
      <w:r>
        <w:rPr>
          <w:rFonts w:ascii="Times New Roman" w:cs="Times New Roman" w:eastAsia="Times New Roman" w:hAnsi="Times New Roman"/>
          <w:sz w:val="17"/>
          <w:szCs w:val="17"/>
          <w:color w:val="auto"/>
        </w:rPr>
        <w:t>The approval process is lengthy and often difficult, and the FDA may refuse to approve an NDA if the applicable regulatory criteria are not satisfied or may require additional clinical or other data and information. On the basis of the FDA’s evaluation of the NDA and accompanying information, including the results of the inspection of the manufacturing facilities, the FDA may issue either an approval letter or a Complete Response Letter (“CRL”). An approval letter authorizes commercial marketing of the product with specific prescribing information for specific indications. A CRL indicates that the review cycle of the application is complete, and the application will not be approved in its present form. A CRL generally outlines the deficiencies in the submission and may require substantial additional testing or information in order for the FDA to reconsider the application. The CRL may require additional clinical or other data, additional pivotal Phase 3 clinical trial(s) and/or other significant and time-consuming requirements related to clinical trials, nonclinical studies or manufacturing. If a CRL is issued, the applicant may choose to either resubmit the NDA addressing all of the deficiencies identified in the letter or withdraw the application. If and when those deficiencies have been addressed to the FDA’s satisfaction in a resubmission of the NDA, the FDA will issue an approval letter. The FDA has committed to reviewing such resubmissions in response to an issued CRL in either two or</w:t>
      </w:r>
    </w:p>
    <w:p>
      <w:pPr>
        <w:spacing w:after="0" w:line="7" w:lineRule="exact"/>
        <w:rPr>
          <w:sz w:val="20"/>
          <w:szCs w:val="20"/>
          <w:color w:val="auto"/>
        </w:rPr>
      </w:pPr>
    </w:p>
    <w:p>
      <w:pPr>
        <w:ind w:right="440"/>
        <w:spacing w:after="0" w:line="259" w:lineRule="auto"/>
        <w:rPr>
          <w:sz w:val="20"/>
          <w:szCs w:val="20"/>
          <w:color w:val="auto"/>
        </w:rPr>
      </w:pPr>
      <w:r>
        <w:rPr>
          <w:rFonts w:ascii="Times New Roman" w:cs="Times New Roman" w:eastAsia="Times New Roman" w:hAnsi="Times New Roman"/>
          <w:sz w:val="18"/>
          <w:szCs w:val="18"/>
          <w:color w:val="auto"/>
        </w:rPr>
        <w:t>six months depending on the type of information included. Even with the submission of this additional information, however, the FDA ultimately may decide that the application does not satisfy the regulatory criteria for approval.</w:t>
      </w:r>
    </w:p>
    <w:p>
      <w:pPr>
        <w:spacing w:after="0" w:line="181" w:lineRule="exact"/>
        <w:rPr>
          <w:sz w:val="20"/>
          <w:szCs w:val="20"/>
          <w:color w:val="auto"/>
        </w:rPr>
      </w:pPr>
    </w:p>
    <w:p>
      <w:pPr>
        <w:ind w:right="20" w:firstLine="646"/>
        <w:spacing w:after="0" w:line="254" w:lineRule="auto"/>
        <w:rPr>
          <w:sz w:val="20"/>
          <w:szCs w:val="20"/>
          <w:color w:val="auto"/>
        </w:rPr>
      </w:pPr>
      <w:r>
        <w:rPr>
          <w:rFonts w:ascii="Times New Roman" w:cs="Times New Roman" w:eastAsia="Times New Roman" w:hAnsi="Times New Roman"/>
          <w:sz w:val="18"/>
          <w:szCs w:val="18"/>
          <w:color w:val="auto"/>
        </w:rPr>
        <w:t>If a product receives regulatory approval from the FDA, the approval is limited to the conditions of use (e.g., patient population, indication) described in the application. Further, depending on the specific risk(s) to be addressed, the FDA may require that contraindications, warnings or precautions be included in the product labeling, require that post-approval trials,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trials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Fast Track, Priority Review, and Breakthrough Therapy Designations</w:t>
      </w:r>
    </w:p>
    <w:p>
      <w:pPr>
        <w:spacing w:after="0" w:line="226" w:lineRule="exact"/>
        <w:rPr>
          <w:sz w:val="20"/>
          <w:szCs w:val="20"/>
          <w:color w:val="auto"/>
        </w:rPr>
      </w:pPr>
    </w:p>
    <w:p>
      <w:pPr>
        <w:ind w:right="20" w:firstLine="646"/>
        <w:spacing w:after="0" w:line="253" w:lineRule="auto"/>
        <w:rPr>
          <w:sz w:val="20"/>
          <w:szCs w:val="20"/>
          <w:color w:val="auto"/>
        </w:rPr>
      </w:pPr>
      <w:r>
        <w:rPr>
          <w:rFonts w:ascii="Times New Roman" w:cs="Times New Roman" w:eastAsia="Times New Roman" w:hAnsi="Times New Roman"/>
          <w:sz w:val="18"/>
          <w:szCs w:val="18"/>
          <w:color w:val="auto"/>
        </w:rPr>
        <w:t>A sponsor may seek approval of its drug candidate under programs designed to accelerate FDA’s review and approval of new drugs that meet certain criteria. Specifically, new drugs are eligible for Fast Track designation if they are intended to treat a serious or life-threatening condition and demonstrate the potential to address unmet medical needs for the condition. Fast Track designation provides increased opportunities for sponsor interactions with the FDA during preclinical and clinical development, in addition to the potential for rolling review once a marketing application is filed, meaning that the FDA may consider for review sections of the NDA on a rolling basis before the complete application is submitted, if the sponsor provides a schedule for the submission of the sections of the application, the FDA agrees to accept the sections and determines that the schedule is acceptable, and the sponsor pays any required user fees upon submission of the first section of the application. A fast track designated drug candidate may also qualify for accelerated approval (described below) or priority review, under which the FDA sets the target date for FDA action on an NDA at six months after the FDA accepts the application for filing.</w:t>
      </w:r>
    </w:p>
    <w:p>
      <w:pPr>
        <w:spacing w:after="0" w:line="191" w:lineRule="exact"/>
        <w:rPr>
          <w:sz w:val="20"/>
          <w:szCs w:val="20"/>
          <w:color w:val="auto"/>
        </w:rPr>
      </w:pPr>
    </w:p>
    <w:p>
      <w:pPr>
        <w:ind w:firstLine="646"/>
        <w:spacing w:after="0" w:line="257" w:lineRule="auto"/>
        <w:rPr>
          <w:sz w:val="20"/>
          <w:szCs w:val="20"/>
          <w:color w:val="auto"/>
        </w:rPr>
      </w:pPr>
      <w:r>
        <w:rPr>
          <w:rFonts w:ascii="Times New Roman" w:cs="Times New Roman" w:eastAsia="Times New Roman" w:hAnsi="Times New Roman"/>
          <w:sz w:val="18"/>
          <w:szCs w:val="18"/>
          <w:color w:val="auto"/>
        </w:rPr>
        <w:t>Priority review is granted when there is evidence that the proposed product would be a significant improvement in the safety or effectiveness of the treatment, diagnosis, or prevention of a serious condition. Significant improvement may be illustrated by evidence of increased effectiveness in the treatment of a condition, elimination or substantial reduction of a treatment-limiting drug reaction, documented enhancement of patient compliance that may lead to improvement in serious outcomes, or evidence of safety and effectiveness in a new subpopulation. If criteria are not met for priority review, the application is subject to the standard FDA review period of ten months after FDA accepts the application for filing.</w:t>
      </w:r>
    </w:p>
    <w:p>
      <w:pPr>
        <w:spacing w:after="0" w:line="185" w:lineRule="exact"/>
        <w:rPr>
          <w:sz w:val="20"/>
          <w:szCs w:val="20"/>
          <w:color w:val="auto"/>
        </w:rPr>
      </w:pPr>
    </w:p>
    <w:p>
      <w:pPr>
        <w:ind w:right="40" w:firstLine="646"/>
        <w:spacing w:after="0" w:line="255" w:lineRule="auto"/>
        <w:rPr>
          <w:sz w:val="20"/>
          <w:szCs w:val="20"/>
          <w:color w:val="auto"/>
        </w:rPr>
      </w:pPr>
      <w:r>
        <w:rPr>
          <w:rFonts w:ascii="Times New Roman" w:cs="Times New Roman" w:eastAsia="Times New Roman" w:hAnsi="Times New Roman"/>
          <w:sz w:val="18"/>
          <w:szCs w:val="18"/>
          <w:color w:val="auto"/>
        </w:rPr>
        <w:t>In addition, a sponsor may seek FDA designation of its drug candidate as a breakthrough therapy if the drug candidate is intended, alone or in combination with one or more other drugs or biologics, to treat a serious or life-threatening disease or condition and preliminary clinical evidence indicates that the therapy may demonstrate substantial improvement over existing therapies on one or more clinically significant endpoints, such as substantial treatment effects observed early in clinical development. Breakthrough therapy designation provides all the features of Fast Track designation in addition to intensive guidance on an efficient development program beginning as early as Phase 1, and FDA organizational commitment to expedited development, including involvement of senior managers and experienced review and regulatory staff in a proactive, collaborative, cross-disciplinary review, where appropriate. A drug designated as breakthrough therapy is also eligible for accelerated approval if the relevant criteria are met.</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2" w:name="page23"/>
    <w:bookmarkEnd w:id="22"/>
    <w:p>
      <w:pPr>
        <w:ind w:right="260" w:firstLine="646"/>
        <w:spacing w:after="0" w:line="260" w:lineRule="auto"/>
        <w:rPr>
          <w:sz w:val="20"/>
          <w:szCs w:val="20"/>
          <w:color w:val="auto"/>
        </w:rPr>
      </w:pPr>
      <w:r>
        <w:rPr>
          <w:rFonts w:ascii="Times New Roman" w:cs="Times New Roman" w:eastAsia="Times New Roman" w:hAnsi="Times New Roman"/>
          <w:sz w:val="18"/>
          <w:szCs w:val="18"/>
          <w:color w:val="auto"/>
        </w:rPr>
        <w:t>Even if a product qualifies for one or more of these programs, the FDA may later decide that the product no longer meets the conditions for qualification or decide that the time period for FDA review or approval will not be shortened. Fast track, priority review and breakthrough therapy designations do not change the scientific or medical standards for approval or the quality of evidence necessary to support approval but may expedite the development or approval process.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Accelerated Approval</w:t>
      </w:r>
    </w:p>
    <w:p>
      <w:pPr>
        <w:spacing w:after="0" w:line="226" w:lineRule="exact"/>
        <w:rPr>
          <w:sz w:val="20"/>
          <w:szCs w:val="20"/>
          <w:color w:val="auto"/>
        </w:rPr>
      </w:pPr>
    </w:p>
    <w:p>
      <w:pPr>
        <w:ind w:right="20" w:firstLine="646"/>
        <w:spacing w:after="0" w:line="253" w:lineRule="auto"/>
        <w:rPr>
          <w:sz w:val="20"/>
          <w:szCs w:val="20"/>
          <w:color w:val="auto"/>
        </w:rPr>
      </w:pPr>
      <w:r>
        <w:rPr>
          <w:rFonts w:ascii="Times New Roman" w:cs="Times New Roman" w:eastAsia="Times New Roman" w:hAnsi="Times New Roman"/>
          <w:sz w:val="18"/>
          <w:szCs w:val="18"/>
          <w:color w:val="auto"/>
        </w:rPr>
        <w:t>In addition, products studied for their safety and effectiveness in treating serious or life-threatening illnesses and that provide meaningful therapeutic benefit over existing treatments may receive accelerated approval from the FDA and may be approved on the basis of adequate and well-controlled clinical trials establishing that the drug product has an effect on a surrogate endpoint that is reasonably likely to predict clinical benefit. The FDA may also grant accelerated approval for such a drug or biologic when it has an effect on an intermediate clinical endpoint that can be measured earlier than an effect on irreversible morbidity and mortality (“IMM”), and that is reasonably likely to predict an effect on IMM or other clinical benefit, taking into account the severity, rarity, or prevalence of the condition and the availability or lack of alternative treatments. As a condition of approval, the FDA may require that a sponsor of a drug receiving accelerated approval perform post-marketing clinical trials to verify and describe the predicted effect on IMM or other clinical endpoint, and the product may be subject to expedited withdrawal procedures. Drugs granted accelerated approval must meet the same statutory standards for safety and effectiveness as those granted traditional approval.</w:t>
      </w:r>
    </w:p>
    <w:p>
      <w:pPr>
        <w:spacing w:after="0" w:line="191" w:lineRule="exact"/>
        <w:rPr>
          <w:sz w:val="20"/>
          <w:szCs w:val="20"/>
          <w:color w:val="auto"/>
        </w:rPr>
      </w:pPr>
    </w:p>
    <w:p>
      <w:pPr>
        <w:ind w:firstLine="646"/>
        <w:spacing w:after="0" w:line="255" w:lineRule="auto"/>
        <w:rPr>
          <w:sz w:val="20"/>
          <w:szCs w:val="20"/>
          <w:color w:val="auto"/>
        </w:rPr>
      </w:pPr>
      <w:r>
        <w:rPr>
          <w:rFonts w:ascii="Times New Roman" w:cs="Times New Roman" w:eastAsia="Times New Roman" w:hAnsi="Times New Roman"/>
          <w:sz w:val="18"/>
          <w:szCs w:val="18"/>
          <w:color w:val="auto"/>
        </w:rPr>
        <w:t>For the purposes of accelerated approval, a surrogate endpoint is a marker, such as a laboratory measurement, radiographic image, physical sign, or other measure that is thought to predict clinical benefit, but is not itself a measure of clinical benefit. Surrogate endpoints can often be measured more easily or more rapidly than clinical endpoints. An intermediate clinical endpoint is a measurement of a therapeutic effect that is considered reasonably likely to predict the clinical benefit of a drug or biologic, such as an effect on IMM. The FDA has limited experience with accelerated approvals based on intermediate clinical endpoints, but has indicated that such endpoints generally may support accelerated approval when the therapeutic effect measured by the endpoint is not itself a clinical benefit and basis for traditional approval, if there is a basis for concluding that the therapeutic effect is reasonably likely to predict the ultimate long-term clinical benefit of a drug.</w:t>
      </w:r>
    </w:p>
    <w:p>
      <w:pPr>
        <w:spacing w:after="0" w:line="184" w:lineRule="exact"/>
        <w:rPr>
          <w:sz w:val="20"/>
          <w:szCs w:val="20"/>
          <w:color w:val="auto"/>
        </w:rPr>
      </w:pPr>
    </w:p>
    <w:p>
      <w:pPr>
        <w:ind w:right="20" w:firstLine="646"/>
        <w:spacing w:after="0" w:line="257" w:lineRule="auto"/>
        <w:rPr>
          <w:sz w:val="20"/>
          <w:szCs w:val="20"/>
          <w:color w:val="auto"/>
        </w:rPr>
      </w:pPr>
      <w:r>
        <w:rPr>
          <w:rFonts w:ascii="Times New Roman" w:cs="Times New Roman" w:eastAsia="Times New Roman" w:hAnsi="Times New Roman"/>
          <w:sz w:val="18"/>
          <w:szCs w:val="18"/>
          <w:color w:val="auto"/>
        </w:rPr>
        <w:t>The accelerated approval pathway is most often used in settings in which the course of a disease is long, and an extended period of time is required to measure the intended clinical benefit of a drug, even if the effect on the surrogate or intermediate clinical endpoint occurs rapidly. For example, accelerated approval has been used extensively in the development and approval of drugs for treatment of a variety of cancers in which the goal of therapy is generally to improve survival or decrease morbidity and the duration of the typical disease course requires lengthy and sometimes large clinical trials to demonstrate a clinical or survival benefit.</w:t>
      </w:r>
    </w:p>
    <w:p>
      <w:pPr>
        <w:spacing w:after="0" w:line="185" w:lineRule="exact"/>
        <w:rPr>
          <w:sz w:val="20"/>
          <w:szCs w:val="20"/>
          <w:color w:val="auto"/>
        </w:rPr>
      </w:pPr>
    </w:p>
    <w:p>
      <w:pPr>
        <w:ind w:right="100" w:firstLine="646"/>
        <w:spacing w:after="0" w:line="253" w:lineRule="auto"/>
        <w:rPr>
          <w:sz w:val="20"/>
          <w:szCs w:val="20"/>
          <w:color w:val="auto"/>
        </w:rPr>
      </w:pPr>
      <w:r>
        <w:rPr>
          <w:rFonts w:ascii="Times New Roman" w:cs="Times New Roman" w:eastAsia="Times New Roman" w:hAnsi="Times New Roman"/>
          <w:sz w:val="18"/>
          <w:szCs w:val="18"/>
          <w:color w:val="auto"/>
        </w:rPr>
        <w:t>The accelerated approval pathway is usually contingent on a sponsor’s agreement to conduct, in a diligent manner, additional post-approval confirmatory studies to verify and describe the drug candidate’s clinical benefit. As a result, a drug candidate approved on this basis is subject to rigorous post-marketing compliance requirements, including the completion of Phase 4 or post-approval clinical trials to confirm the effect on the clinical endpoint. Failure to conduct required post-approval studies, or to confirm the predicted clinical benefit of the product during post-marketing studies, would allow the FDA to withdraw approval of the product. As part of the Consolidated Appropriations Act for 2023, Congress provided FDA additional statutory authority to mitigate potential risks to patients from continued marketing of ineffective drugs or biologics previously granted accelerated approval. Under such act’s amendments to the FDCA, the FDA may require the sponsor of a product granted accelerated approval to have a confirmatory trial underway prior to approval. The sponsor must also submit progress reports on a confirmatory trial every six months until the trial is complete, and such reports are published on FDA’s website. The amendments also give FDA the option of using expedited procedures to withdraw product approval if the sponsor’s confirmatory trial fails to verify the claimed clinical benefits of the product.</w:t>
      </w:r>
    </w:p>
    <w:p>
      <w:pPr>
        <w:spacing w:after="0" w:line="188" w:lineRule="exact"/>
        <w:rPr>
          <w:sz w:val="20"/>
          <w:szCs w:val="20"/>
          <w:color w:val="auto"/>
        </w:rPr>
      </w:pPr>
    </w:p>
    <w:p>
      <w:pPr>
        <w:ind w:right="200" w:firstLine="646"/>
        <w:spacing w:after="0" w:line="281" w:lineRule="auto"/>
        <w:rPr>
          <w:sz w:val="20"/>
          <w:szCs w:val="20"/>
          <w:color w:val="auto"/>
        </w:rPr>
      </w:pPr>
      <w:r>
        <w:rPr>
          <w:rFonts w:ascii="Times New Roman" w:cs="Times New Roman" w:eastAsia="Times New Roman" w:hAnsi="Times New Roman"/>
          <w:sz w:val="18"/>
          <w:szCs w:val="18"/>
          <w:color w:val="auto"/>
        </w:rPr>
        <w:t>All promotional materials for drug candidates being considered and approved under the accelerated approval program are subject to prior review by the FDA.</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226" w:lineRule="exact"/>
        <w:rPr>
          <w:sz w:val="20"/>
          <w:szCs w:val="20"/>
          <w:color w:val="auto"/>
        </w:rPr>
      </w:pPr>
    </w:p>
    <w:p>
      <w:pPr>
        <w:ind w:firstLine="646"/>
        <w:spacing w:after="0" w:line="252" w:lineRule="auto"/>
        <w:rPr>
          <w:sz w:val="20"/>
          <w:szCs w:val="20"/>
          <w:color w:val="auto"/>
        </w:rPr>
      </w:pPr>
      <w:r>
        <w:rPr>
          <w:rFonts w:ascii="Times New Roman" w:cs="Times New Roman" w:eastAsia="Times New Roman" w:hAnsi="Times New Roman"/>
          <w:sz w:val="18"/>
          <w:szCs w:val="18"/>
          <w:color w:val="auto"/>
        </w:rPr>
        <w:t>After approval, the manufacturer and the approved drug product are subject to extensive continuing regulation by the FDA, which includes, among other things, obligations to manufacture the product in accordance with cGMP, monitoring and recordkeeping activities, reporting of adverse experiences with the product, product sampling and distribution restrictions, complying with FDA promotion and advertising requirements, which include restrictions on promoting drugs for unapproved uses or patient populations (i.e., “off-label uses”) and limitations on industry-sponsored scientific and educational activities. The manufacturer and its products are also subject to similar post-approval requirements by regulatory authorities comparable to FDA in jurisdictions outside of the United States where the products are approved. Although physicians may prescribe legally available products for off-label uses, manufacturers may not market or promote such uses. The FDA and other agencies actively enforce the laws and regulations prohibiting the promotion of off-label uses, and a company that is found to have improperly promoted off-label uses may be subject to significant liability. If there are any modifications to the product, including changes in indications, labeling or manufacturing processes or facilities, the applicant may be required to submit and obtain FDA approval of a new NDA or a supplement to an NDA, which may require the applicant to develop additional data or conduct additional nonclinical studies and clinical trials. The FDA may also place other conditions on approvals including the requirement for a REMS to assure the safe use of the product.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Product approvals may be withdrawn for non-compliance with regulatory standards or if problems occur following initial marketing</w:t>
      </w:r>
    </w:p>
    <w:p>
      <w:pPr>
        <w:spacing w:after="0" w:line="188" w:lineRule="exact"/>
        <w:rPr>
          <w:sz w:val="20"/>
          <w:szCs w:val="20"/>
          <w:color w:val="auto"/>
        </w:rPr>
      </w:pPr>
    </w:p>
    <w:p>
      <w:pPr>
        <w:ind w:firstLine="646"/>
        <w:spacing w:after="0" w:line="252" w:lineRule="auto"/>
        <w:rPr>
          <w:sz w:val="20"/>
          <w:szCs w:val="20"/>
          <w:color w:val="auto"/>
        </w:rPr>
      </w:pPr>
      <w:r>
        <w:rPr>
          <w:rFonts w:ascii="Times New Roman" w:cs="Times New Roman" w:eastAsia="Times New Roman" w:hAnsi="Times New Roman"/>
          <w:sz w:val="18"/>
          <w:szCs w:val="18"/>
          <w:color w:val="auto"/>
        </w:rPr>
        <w:t>FDA regulations require that products be manufactured in specific approved facilities and in accordance with cGMPs.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drug candidates must meet applicable cGMP requirements to the FDA’s or comparable international regulatory authorities’ satisfaction before any product is approved and our commercial products can be manufactured. We rely, and expect to continue to rely, on third parties for the production of clinical and commercial quantities of our candidates in accordance with cGMP regulations. These manufacturers must comply with cGMP regulations that require, among other things, quality control and quality assurance, the maintenance of records and documentation and the obligation to investigate and correct any deviations from cGMP. Manufacturers and other entities involved in the manufacture and distribution of approved drugs are required to register their establishments with the FDA and certain state agencies and are subject to periodic prescheduled or unannounced inspections by the FDA and certain state agencies for compliance with cGMP and other laws. Accordingly, manufacturers must continue to expend time, money and effort in the area of production and quality control to maintain cGMP compliance. Future inspections by the FDA and other regulatory agencies may identify compliance issues at the facilities of our contract manufacturing organizations that may disrupt production or distribution or require substantial resources to correct. In addition, the discovery of conditions that violate these rules, including failure to conform to cGMPs, could result in enforcement actions, and the discovery of problems with a product after approval may result in restrictions on a product, manufacturer or holder of an approved NDA, including voluntary recall and regulatory sanctions as described below.</w:t>
      </w:r>
    </w:p>
    <w:p>
      <w:pPr>
        <w:spacing w:after="0" w:line="188" w:lineRule="exact"/>
        <w:rPr>
          <w:sz w:val="20"/>
          <w:szCs w:val="20"/>
          <w:color w:val="auto"/>
        </w:rPr>
      </w:pPr>
    </w:p>
    <w:p>
      <w:pPr>
        <w:ind w:right="20" w:firstLine="646"/>
        <w:spacing w:after="0" w:line="257" w:lineRule="auto"/>
        <w:rPr>
          <w:sz w:val="20"/>
          <w:szCs w:val="20"/>
          <w:color w:val="auto"/>
        </w:rPr>
      </w:pPr>
      <w:r>
        <w:rPr>
          <w:rFonts w:ascii="Times New Roman" w:cs="Times New Roman" w:eastAsia="Times New Roman" w:hAnsi="Times New Roman"/>
          <w:sz w:val="18"/>
          <w:szCs w:val="18"/>
          <w:color w:val="auto"/>
        </w:rPr>
        <w:t>Once an approval or clearance of a drug is granted, the FDA may withdraw the approval if compliance with regulatory requirements and standards is not maintained or if problems occur after the product reaches the market. Later discovery of previously unknown problems with a product, including AEs of unanticipated severity or frequency, or with manufacturing processes, or failure to comply with regulatory requirements, may result in mandatory revisions to the approved labeling to add new safety information; imposition of post-market or clinical trials to assess new safety risks; or imposition of distribution or other restrictions under a REMS program.</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potential consequences include, among other things:</w:t>
      </w:r>
    </w:p>
    <w:p>
      <w:pPr>
        <w:spacing w:after="0" w:line="224" w:lineRule="exact"/>
        <w:rPr>
          <w:sz w:val="20"/>
          <w:szCs w:val="20"/>
          <w:color w:val="auto"/>
        </w:rPr>
      </w:pPr>
    </w:p>
    <w:p>
      <w:pPr>
        <w:ind w:left="980" w:hanging="32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other enforcement-related letters, or clinical holds on post-approval clinical trials;</w:t>
      </w:r>
    </w:p>
    <w:p>
      <w:pPr>
        <w:spacing w:after="0" w:line="223" w:lineRule="exact"/>
        <w:rPr>
          <w:rFonts w:ascii="Times New Roman" w:cs="Times New Roman" w:eastAsia="Times New Roman" w:hAnsi="Times New Roman"/>
          <w:sz w:val="18"/>
          <w:szCs w:val="18"/>
          <w:color w:val="auto"/>
        </w:rPr>
      </w:pPr>
    </w:p>
    <w:p>
      <w:pPr>
        <w:ind w:left="980" w:right="580" w:hanging="326"/>
        <w:spacing w:after="0" w:line="281"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marketing applications or supplements to approved marketing authorizations, or suspension or revocation of product approvals;</w:t>
      </w:r>
    </w:p>
    <w:p>
      <w:pPr>
        <w:spacing w:after="0" w:line="161"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24" w:name="page25"/>
    <w:bookmarkEnd w:id="24"/>
    <w:p>
      <w:pPr>
        <w:ind w:left="980" w:hanging="32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 decrees, corporate integrity agreements, debarment, or exclusion from federal healthcare programs; and/or</w:t>
      </w:r>
    </w:p>
    <w:p>
      <w:pPr>
        <w:spacing w:after="0" w:line="224"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Mandated modification of promotional materials and labeling and the issuance of corrective information.</w:t>
      </w:r>
    </w:p>
    <w:p>
      <w:pPr>
        <w:spacing w:after="0" w:line="224" w:lineRule="exact"/>
        <w:rPr>
          <w:sz w:val="20"/>
          <w:szCs w:val="20"/>
          <w:color w:val="auto"/>
        </w:rPr>
      </w:pPr>
    </w:p>
    <w:p>
      <w:pPr>
        <w:ind w:right="20" w:firstLine="646"/>
        <w:spacing w:after="0" w:line="252" w:lineRule="auto"/>
        <w:rPr>
          <w:sz w:val="20"/>
          <w:szCs w:val="20"/>
          <w:color w:val="auto"/>
        </w:rPr>
      </w:pPr>
      <w:r>
        <w:rPr>
          <w:rFonts w:ascii="Times New Roman" w:cs="Times New Roman" w:eastAsia="Times New Roman" w:hAnsi="Times New Roman"/>
          <w:sz w:val="18"/>
          <w:szCs w:val="18"/>
          <w:color w:val="auto"/>
        </w:rPr>
        <w:t>In addition, the distribution of prescription pharmaceutical products is subject to the Prescription Drug Marketing Act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 Most recently, the Drug Supply Chain Security Act (“DSCSA”) was enacted with the aim of building an electronic system to identify and trace certain prescription drugs distributed in the United States. The DSCSA mandates phased-in and resource-intensive obligations for pharmaceutical manufacturers, wholesale distributors, and dispensers over a ten-year period, which culminated in November 2023. Most recently, the FDA announced a one-year stabilization period to November 2024, giving entities subject to the DSCSA additional time to finalize interoperable tracking systems and to ensure supply chain continuity. From time to time, new legislation and regulations may be implemented that could significantly change the statutory provisions governing the approval, manufacturing and marketing of products regulated by the FDA. It is impossible to predict whether further legislative or regulatory changes will be enacted, whether FDA regulations, guidance or interpretations will be changed or what the impact of such changes, if any, may be.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Regulation of Controlled Substances</w:t>
      </w:r>
    </w:p>
    <w:p>
      <w:pPr>
        <w:spacing w:after="0" w:line="226" w:lineRule="exact"/>
        <w:rPr>
          <w:sz w:val="20"/>
          <w:szCs w:val="20"/>
          <w:color w:val="auto"/>
        </w:rPr>
      </w:pPr>
    </w:p>
    <w:p>
      <w:pPr>
        <w:ind w:right="60" w:firstLine="646"/>
        <w:spacing w:after="0" w:line="256" w:lineRule="auto"/>
        <w:rPr>
          <w:sz w:val="20"/>
          <w:szCs w:val="20"/>
          <w:color w:val="auto"/>
        </w:rPr>
      </w:pPr>
      <w:r>
        <w:rPr>
          <w:rFonts w:ascii="Times New Roman" w:cs="Times New Roman" w:eastAsia="Times New Roman" w:hAnsi="Times New Roman"/>
          <w:sz w:val="18"/>
          <w:szCs w:val="18"/>
          <w:color w:val="auto"/>
        </w:rPr>
        <w:t>Our drug candidates contain active substances derived from the cannabis plant and psilocybe mushrooms (or that are synthesized versions of such substances), which are classified as controlled substances, as defined in the CSA. The CSA and its implementing regulations establish a “closed system” of distribution for controlled substances. The CSA imposes registration, security, recordkeeping and reporting, storage, manufacturing, distribution, labeling, importation, exportation, disposal and other requirements under the oversight of the DEA, the federal agency responsible for regulating controlled substances. The DEA requires those individuals or entities that manufacture, import, export, distribute, research, or dispense controlled substances to comply with the applicable requirements to prevent the diversion of controlled substances to illicit channels of commerce.</w:t>
      </w:r>
    </w:p>
    <w:p>
      <w:pPr>
        <w:spacing w:after="0" w:line="184" w:lineRule="exact"/>
        <w:rPr>
          <w:sz w:val="20"/>
          <w:szCs w:val="20"/>
          <w:color w:val="auto"/>
        </w:rPr>
      </w:pPr>
    </w:p>
    <w:p>
      <w:pPr>
        <w:ind w:right="120" w:firstLine="646"/>
        <w:spacing w:after="0" w:line="253" w:lineRule="auto"/>
        <w:rPr>
          <w:sz w:val="20"/>
          <w:szCs w:val="20"/>
          <w:color w:val="auto"/>
        </w:rPr>
      </w:pPr>
      <w:r>
        <w:rPr>
          <w:rFonts w:ascii="Times New Roman" w:cs="Times New Roman" w:eastAsia="Times New Roman" w:hAnsi="Times New Roman"/>
          <w:sz w:val="18"/>
          <w:szCs w:val="18"/>
          <w:color w:val="auto"/>
        </w:rPr>
        <w:t>The DEA categorizes controlled substances into one of five schedules — Schedule I, II, III, IV, or V — with varying qualifications for listing in each schedule. Schedule I substances have a high potential for abuse, have no currently “accepted medical use” in treatment in the United States and lack accepted safety for use under medical supervision. They may be used only in federally approved research programs and may not be marketed or sold for dispensing to patients in the United States. THC, along with other substances derived from the cannabis plant, and psilocybin are Schedule I controlled substances under the CSA. Pharmaceutical products having a currently accepted medical use that are otherwise approved for marketing may be listed as Schedule II, III, IV or V substances, with Schedule II substances presenting the highest potential for abuse and physical or psychological dependence and Schedule V substances the lowest relative risk for abuse and dependence. The regulatory requirements are more restrictive for Schedule II substances than Schedule III–V substances. For example, all Schedule II drug prescriptions must be signed by a physician, physically presented to a pharmacist in most situations, and cannot be refilled.</w:t>
      </w:r>
    </w:p>
    <w:p>
      <w:pPr>
        <w:spacing w:after="0" w:line="191" w:lineRule="exact"/>
        <w:rPr>
          <w:sz w:val="20"/>
          <w:szCs w:val="20"/>
          <w:color w:val="auto"/>
        </w:rPr>
      </w:pPr>
    </w:p>
    <w:p>
      <w:pPr>
        <w:ind w:firstLine="646"/>
        <w:spacing w:after="0" w:line="255" w:lineRule="auto"/>
        <w:rPr>
          <w:sz w:val="20"/>
          <w:szCs w:val="20"/>
          <w:color w:val="auto"/>
        </w:rPr>
      </w:pPr>
      <w:r>
        <w:rPr>
          <w:rFonts w:ascii="Times New Roman" w:cs="Times New Roman" w:eastAsia="Times New Roman" w:hAnsi="Times New Roman"/>
          <w:sz w:val="18"/>
          <w:szCs w:val="18"/>
          <w:color w:val="auto"/>
        </w:rPr>
        <w:t>Following FDA approval of a drug containing a Schedule I controlled substance, that substance must be rescheduled as a Schedule II, III, IV or V substance before it can be marketed. For example, products approved for medical use in the United States that contain THC or cannabis plant extracts, must be placed in one of Schedules II–V as approval by the FDA satisfies the “acceptable medical use” requirement. In November 2015, the Improving Regulatory Transparency for New Medical Therapies Act, which law removed uncertainty associated with timing of the DEA rescheduling process after FDA approval, was signed into law. Specifically, the law requires the DEA to issue an “interim final rule,” pursuant to which a manufacturer may market its product within 90 days of FDA approval. The law also preserves the period of orphan marketing exclusivity for the full seven years such that this period only begins after DEA scheduling.</w:t>
      </w:r>
    </w:p>
    <w:p>
      <w:pPr>
        <w:spacing w:after="0" w:line="184" w:lineRule="exact"/>
        <w:rPr>
          <w:sz w:val="20"/>
          <w:szCs w:val="20"/>
          <w:color w:val="auto"/>
        </w:rPr>
      </w:pPr>
    </w:p>
    <w:p>
      <w:pPr>
        <w:ind w:right="140" w:firstLine="646"/>
        <w:spacing w:after="0" w:line="257" w:lineRule="auto"/>
        <w:rPr>
          <w:sz w:val="20"/>
          <w:szCs w:val="20"/>
          <w:color w:val="auto"/>
        </w:rPr>
      </w:pPr>
      <w:r>
        <w:rPr>
          <w:rFonts w:ascii="Times New Roman" w:cs="Times New Roman" w:eastAsia="Times New Roman" w:hAnsi="Times New Roman"/>
          <w:sz w:val="18"/>
          <w:szCs w:val="18"/>
          <w:color w:val="auto"/>
        </w:rPr>
        <w:t>Facilities that research, manufacture, distribute, import or export any controlled substance must register annually with the DEA. The DEA registration is specific to the particular location, activity(ies) and controlled substances utilized. For example, separate registrations are required for importation and manufacturing activities, and each registration authorizes which schedules of controlled substances the registrant may handle. However, certain coincident activities are permitted without obtaining a separate DEA registration, such as distribution of controlled substances by the manufacturer that produces them.</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25" w:name="page26"/>
    <w:bookmarkEnd w:id="25"/>
    <w:p>
      <w:pPr>
        <w:ind w:right="20" w:firstLine="646"/>
        <w:spacing w:after="0" w:line="253" w:lineRule="auto"/>
        <w:rPr>
          <w:sz w:val="20"/>
          <w:szCs w:val="20"/>
          <w:color w:val="auto"/>
        </w:rPr>
      </w:pPr>
      <w:r>
        <w:rPr>
          <w:rFonts w:ascii="Times New Roman" w:cs="Times New Roman" w:eastAsia="Times New Roman" w:hAnsi="Times New Roman"/>
          <w:sz w:val="18"/>
          <w:szCs w:val="18"/>
          <w:color w:val="auto"/>
        </w:rPr>
        <w:t>The DEA inspects all manufacturing facilities to review security, recordkeeping, reporting, handling and compliance with other DEA regulatory requirements prior to issuing a controlled substance registration and periodically thereafter to ensure continued compliance. The specific security requirements vary by the type of business activity and the schedule and quantity of controlled substances handled. The most stringent requirements apply to manufacturers of Schedule I and Schedule II substances. Required security measures commonly include background checks on employees and physical control of controlled substances through storage in approved vaults, safes and cages, and through use of alarm systems and surveillance cameras. An application for a manufacturing registration as a bulk manufacturer (not a dosage form manufacturer or a repacker/relabeler) for a Schedule I or II substance must be published in the Federal Register and is open for 30 days to permit interested persons to submit comments, objections, or requests for a hearing. A copy of the notice of the Federal Register publication is forwarded by the DEA to all those registered, or applicants for registration, as bulk manufacturers of that substance.</w:t>
      </w:r>
    </w:p>
    <w:p>
      <w:pPr>
        <w:spacing w:after="0" w:line="191" w:lineRule="exact"/>
        <w:rPr>
          <w:sz w:val="20"/>
          <w:szCs w:val="20"/>
          <w:color w:val="auto"/>
        </w:rPr>
      </w:pPr>
    </w:p>
    <w:p>
      <w:pPr>
        <w:ind w:right="20" w:firstLine="646"/>
        <w:spacing w:after="0" w:line="270" w:lineRule="auto"/>
        <w:rPr>
          <w:sz w:val="20"/>
          <w:szCs w:val="20"/>
          <w:color w:val="auto"/>
        </w:rPr>
      </w:pPr>
      <w:r>
        <w:rPr>
          <w:rFonts w:ascii="Times New Roman" w:cs="Times New Roman" w:eastAsia="Times New Roman" w:hAnsi="Times New Roman"/>
          <w:sz w:val="17"/>
          <w:szCs w:val="17"/>
          <w:color w:val="auto"/>
        </w:rPr>
        <w:t>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dispose of controlled substances. As with applications for registration as a bulk manufacturer, an application for an importer registration for a Schedule I or II substance must also be published in the Federal Register, which remains open for 30 days for comments.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a Schedule III, IV and V narcotic, a specially designated Schedule III non-narcotic, or a Schedule IV or V narcotic controlled in Schedule I or II by the Convention on Psychotropic Substances and submit import or export declarations for a Schedule III, IV and V non-narcotic.</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For drugs manufactured in the United States, the DEA establishes annually an aggregate quota for the amount of substances within Schedules I and</w:t>
      </w:r>
    </w:p>
    <w:p>
      <w:pPr>
        <w:spacing w:after="0" w:line="38" w:lineRule="exact"/>
        <w:rPr>
          <w:sz w:val="20"/>
          <w:szCs w:val="20"/>
          <w:color w:val="auto"/>
        </w:rPr>
      </w:pPr>
    </w:p>
    <w:p>
      <w:pPr>
        <w:ind w:right="40" w:firstLine="8"/>
        <w:spacing w:after="0" w:line="251" w:lineRule="auto"/>
        <w:tabs>
          <w:tab w:leader="none" w:pos="1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may be manufactured or produced in the United States based on the DEA’s estimate of the quantity needed to meet legitimate medical, scientific, research and industrial needs. This limited aggregate amount of cannabis or psilocybin that the DEA allows to be produced in the United States each year is allocated among individual companies, which, in turn, must annually apply to the DEA for individual manufacturing and procurement quotas. The quotas apply equally to the manufacturing of the active pharmaceutical ingredient and the production of dosage forms. The DEA may adjust aggregate production quotas and individual manufacturing or procurement quotas from time to time during the year, although the DEA has substantial discretion in whether or not to make such adjustments for individual companies.</w:t>
      </w:r>
    </w:p>
    <w:p>
      <w:pPr>
        <w:spacing w:after="0" w:line="191" w:lineRule="exact"/>
        <w:rPr>
          <w:sz w:val="20"/>
          <w:szCs w:val="20"/>
          <w:color w:val="auto"/>
        </w:rPr>
      </w:pPr>
    </w:p>
    <w:p>
      <w:pPr>
        <w:ind w:right="300" w:firstLine="646"/>
        <w:spacing w:after="0" w:line="276" w:lineRule="auto"/>
        <w:rPr>
          <w:sz w:val="20"/>
          <w:szCs w:val="20"/>
          <w:color w:val="auto"/>
        </w:rPr>
      </w:pPr>
      <w:r>
        <w:rPr>
          <w:rFonts w:ascii="Times New Roman" w:cs="Times New Roman" w:eastAsia="Times New Roman" w:hAnsi="Times New Roman"/>
          <w:sz w:val="17"/>
          <w:szCs w:val="17"/>
          <w:color w:val="auto"/>
        </w:rPr>
        <w:t>The states in the United States also maintain separate controlled substance laws and regulations, including licensing, recordkeeping, security, distribution, and dispensing requirements. State authorities, including boards of pharmacy, regulate use of controlled substances in each state. Failure to maintain compliance with applicable requirements, particularly as manifested in the loss or diversion of controlled substances, can result in enforcement action that could have a material adverse effect on our business, operations and financial condition. The DEA may seek civil penalties, refuse to renew necessary registrations, or initiate proceedings to revoke those registrations. In certain circumstances, violations could lead to criminal prosecution.</w:t>
      </w:r>
    </w:p>
    <w:p>
      <w:pPr>
        <w:spacing w:after="0" w:line="169" w:lineRule="exact"/>
        <w:rPr>
          <w:sz w:val="20"/>
          <w:szCs w:val="20"/>
          <w:color w:val="auto"/>
        </w:rPr>
      </w:pPr>
    </w:p>
    <w:p>
      <w:pPr>
        <w:ind w:right="100" w:firstLine="646"/>
        <w:spacing w:after="0" w:line="260" w:lineRule="auto"/>
        <w:rPr>
          <w:sz w:val="20"/>
          <w:szCs w:val="20"/>
          <w:color w:val="auto"/>
        </w:rPr>
      </w:pPr>
      <w:r>
        <w:rPr>
          <w:rFonts w:ascii="Times New Roman" w:cs="Times New Roman" w:eastAsia="Times New Roman" w:hAnsi="Times New Roman"/>
          <w:sz w:val="18"/>
          <w:szCs w:val="18"/>
          <w:color w:val="auto"/>
        </w:rPr>
        <w:t>In May 2024, the DEA published a notice of proposed rulemaking to reschedule marijuana (the cannabis plant and the various compounds, manufactures, salts, derivatives, mixtures, or preparations from it) from Schedule I to Schedule III. However, it is uncertain whether DEA will issue a final rule to implement such rescheduling. Even if a final rule is issued, it is likely to be subject to continued political opposition or possible legal challenges in federal court.</w:t>
      </w:r>
    </w:p>
    <w:p>
      <w:pPr>
        <w:spacing w:after="0" w:line="181" w:lineRule="exact"/>
        <w:rPr>
          <w:sz w:val="20"/>
          <w:szCs w:val="20"/>
          <w:color w:val="auto"/>
        </w:rPr>
      </w:pPr>
    </w:p>
    <w:p>
      <w:pPr>
        <w:ind w:right="180" w:firstLine="646"/>
        <w:spacing w:after="0" w:line="255" w:lineRule="auto"/>
        <w:rPr>
          <w:sz w:val="20"/>
          <w:szCs w:val="20"/>
          <w:color w:val="auto"/>
        </w:rPr>
      </w:pPr>
      <w:r>
        <w:rPr>
          <w:rFonts w:ascii="Times New Roman" w:cs="Times New Roman" w:eastAsia="Times New Roman" w:hAnsi="Times New Roman"/>
          <w:sz w:val="18"/>
          <w:szCs w:val="18"/>
          <w:color w:val="auto"/>
        </w:rPr>
        <w:t>We will be subject to DEA approval to conduct our clinical trials and manufacturing activities in the United States. All parties engaged for Incannex projects, including but not limited to formulation development, manufacturing, preclinical and clinical research, involving controlled substances in the United States must have the appropriate registrations with and permits from the DEA as well as licenses from applicable state authorities. We may also decide to develop, manufacture or commercialize our drug candidates in additional countries. As a result, we will be subject to controlled substance laws and regulations from the Australian Therapeutic Goods Administration (“TGA”) in Australia, Health Canada’s Office of Controlled Substances in Canada, the Drugs &amp; Firearms Unit (Home Office) of the National Drug Control System in the United Kingdom, and from other regulatory agencies in other countries where we develop, manufacture or commercialize each drug asset in the future.</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color w:val="auto"/>
        </w:rPr>
        <w:t>Patent Term Restoration</w:t>
      </w:r>
    </w:p>
    <w:p>
      <w:pPr>
        <w:spacing w:after="0" w:line="226" w:lineRule="exact"/>
        <w:rPr>
          <w:sz w:val="20"/>
          <w:szCs w:val="20"/>
          <w:color w:val="auto"/>
        </w:rPr>
      </w:pPr>
    </w:p>
    <w:p>
      <w:pPr>
        <w:ind w:firstLine="646"/>
        <w:spacing w:after="0" w:line="252" w:lineRule="auto"/>
        <w:rPr>
          <w:sz w:val="20"/>
          <w:szCs w:val="20"/>
          <w:color w:val="auto"/>
        </w:rPr>
      </w:pPr>
      <w:r>
        <w:rPr>
          <w:rFonts w:ascii="Times New Roman" w:cs="Times New Roman" w:eastAsia="Times New Roman" w:hAnsi="Times New Roman"/>
          <w:sz w:val="18"/>
          <w:szCs w:val="18"/>
          <w:color w:val="auto"/>
        </w:rPr>
        <w:t>Depending upon the timing, duration and specifics of FDA approval of our drug candidates, some of our United States patents may be eligible for limited patent term extension under the Drug Price Competition and Patent Term Restoration Act, informally known as the Hatch-Waxman Act. The Hatch-Waxman Act permits a patent restoration term of up to five years as compensation for patent term lost during product development and the FDA regulatory review process. However, patent term restoration cannot extend the remaining term of a patent beyond a total of 14 years from the drug candidate’s approval date. The patent term restoration period is generally one half of the time between the effective date of an IND and the submission date of an NDA, plus the time between the submission date of the NDA and the approval of that application, except that the review period is reduced by any time during which the applicant failed to exercise due diligence. Only one patent applicable to an approved drug candidate is eligible for the extension and the application for extension must be made prior to expiration of the patent. The USPTO, in consultation with the FDA, reviews and approves the application for any patent term extension or restoration. In the future, we intend to apply for restorations of patent term for some of our currently owned or licensed patents to add patent life beyond their current expiration date, depending on the expected length of clinical trials and other factors involved in the submission of the relevant NDA.</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Abbreviated NDAs for Generic Drugs</w:t>
      </w:r>
    </w:p>
    <w:p>
      <w:pPr>
        <w:spacing w:after="0" w:line="226" w:lineRule="exact"/>
        <w:rPr>
          <w:sz w:val="20"/>
          <w:szCs w:val="20"/>
          <w:color w:val="auto"/>
        </w:rPr>
      </w:pPr>
    </w:p>
    <w:p>
      <w:pPr>
        <w:ind w:right="240" w:firstLine="646"/>
        <w:spacing w:after="0" w:line="257" w:lineRule="auto"/>
        <w:rPr>
          <w:sz w:val="20"/>
          <w:szCs w:val="20"/>
          <w:color w:val="auto"/>
        </w:rPr>
      </w:pPr>
      <w:r>
        <w:rPr>
          <w:rFonts w:ascii="Times New Roman" w:cs="Times New Roman" w:eastAsia="Times New Roman" w:hAnsi="Times New Roman"/>
          <w:sz w:val="18"/>
          <w:szCs w:val="18"/>
          <w:color w:val="auto"/>
        </w:rPr>
        <w:t>In 1984, with passage of the Hatch-Waxman Act, which established an abbreviated regulatory scheme authorizing the FDA to approve generic drugs based on an innovator or “reference” product, Congress also enacted Section 505(b)(2) of the FDCA, which provides a hybrid pathway combining features of a traditional NDA and a generic drug application. To obtain approval of a generic drug, an applicant must submit an Abbreviated New Drug Application (“ANDA”) to the agency. In support of such applications, a generic manufacturer may rely on the preclinical and clinical testing previously conducted for a drug product previously approved under an NDA, known as the reference listed drug (“RLD”).</w:t>
      </w:r>
    </w:p>
    <w:p>
      <w:pPr>
        <w:spacing w:after="0" w:line="185" w:lineRule="exact"/>
        <w:rPr>
          <w:sz w:val="20"/>
          <w:szCs w:val="20"/>
          <w:color w:val="auto"/>
        </w:rPr>
      </w:pPr>
    </w:p>
    <w:p>
      <w:pPr>
        <w:ind w:firstLine="646"/>
        <w:spacing w:after="0" w:line="260" w:lineRule="auto"/>
        <w:rPr>
          <w:sz w:val="20"/>
          <w:szCs w:val="20"/>
          <w:color w:val="auto"/>
        </w:rPr>
      </w:pPr>
      <w:r>
        <w:rPr>
          <w:rFonts w:ascii="Times New Roman" w:cs="Times New Roman" w:eastAsia="Times New Roman" w:hAnsi="Times New Roman"/>
          <w:sz w:val="18"/>
          <w:szCs w:val="18"/>
          <w:color w:val="auto"/>
        </w:rPr>
        <w:t>Specifically, in order for an ANDA to be approved, the FDA must find that the generic version is identical to the RLD with respect to the active ingredients, the route of administration, the dosage form, and the strength of the drug. At the same time, the FDA must also determine that the generic drug is “bioequivalent” to the innovator drug. Under the statute, a generic drug is bioequivalent to an RLD if “the rate and extent of absorption of the drug do not show a significant difference from the rate and extent of absorption of the listed drug.”</w:t>
      </w:r>
    </w:p>
    <w:p>
      <w:pPr>
        <w:spacing w:after="0" w:line="181" w:lineRule="exact"/>
        <w:rPr>
          <w:sz w:val="20"/>
          <w:szCs w:val="20"/>
          <w:color w:val="auto"/>
        </w:rPr>
      </w:pPr>
    </w:p>
    <w:p>
      <w:pPr>
        <w:ind w:right="20" w:firstLine="646"/>
        <w:spacing w:after="0" w:line="257" w:lineRule="auto"/>
        <w:rPr>
          <w:sz w:val="20"/>
          <w:szCs w:val="20"/>
          <w:color w:val="auto"/>
        </w:rPr>
      </w:pPr>
      <w:r>
        <w:rPr>
          <w:rFonts w:ascii="Times New Roman" w:cs="Times New Roman" w:eastAsia="Times New Roman" w:hAnsi="Times New Roman"/>
          <w:sz w:val="18"/>
          <w:szCs w:val="18"/>
          <w:color w:val="auto"/>
        </w:rPr>
        <w:t>Upon approval of an ANDA, the FDA indicates whether the generic product is “therapeutically equivalent” to the RLD in its publication Approved Drug Products with Therapeutic Equivalence Evaluations, also referred to as the Orange Book. Clinicians and pharmacists consider a therapeutic equivalent generic drug to be fully substitutable for the RLD. In addition, by operation of certain state laws and numerous health insurance programs, the FDA’s designation of therapeutic equivalence often results in substitution of the generic drug without the knowledge or consent of either the prescribing clinicians or patient.</w:t>
      </w:r>
    </w:p>
    <w:p>
      <w:pPr>
        <w:spacing w:after="0" w:line="185" w:lineRule="exact"/>
        <w:rPr>
          <w:sz w:val="20"/>
          <w:szCs w:val="20"/>
          <w:color w:val="auto"/>
        </w:rPr>
      </w:pPr>
    </w:p>
    <w:p>
      <w:pPr>
        <w:ind w:right="80" w:firstLine="646"/>
        <w:spacing w:after="0" w:line="253" w:lineRule="auto"/>
        <w:rPr>
          <w:sz w:val="20"/>
          <w:szCs w:val="20"/>
          <w:color w:val="auto"/>
        </w:rPr>
      </w:pPr>
      <w:r>
        <w:rPr>
          <w:rFonts w:ascii="Times New Roman" w:cs="Times New Roman" w:eastAsia="Times New Roman" w:hAnsi="Times New Roman"/>
          <w:sz w:val="18"/>
          <w:szCs w:val="18"/>
          <w:color w:val="auto"/>
        </w:rPr>
        <w:t>In contrast, Section 505(b)(2) permits the filing of an NDA where at least some of the information required for approval comes from studies not conducted by or for the applicant and for which the applicant has not obtained a right of reference. Section 505(b)(2) NDAs may provide an alternate path to FDA approval for new or improved formulations or new uses of previously approved products; for example, an applicant may be seeking approval to market a previously approved drug for new indications or for a new patient population that would require new clinical data to demonstrate safety or effectiveness. A Section 505(b)(2) applicant may eliminate the need to conduct certain preclinical or clinical studies, if it can establish that reliance on studies conducted for a previously approved product is scientifically appropriate. Unlike the ANDA pathway used by developers of bioequivalent versions of innovator drugs, which does not allow applicants to submit new clinical data other than bioavailability or bioequivalence data, the 505(b)(2) regulatory pathway does not preclude the possibility that a follow-on applicant would need to conduct additional clinical trials or nonclinical studies. The FDA may then approve the new product for all or some of the label indications for which the RLD has been approved, or for any new indication sought by the Section 505(b)(2) applicant as applicable.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00"/>
          </w:cols>
          <w:pgMar w:left="320" w:top="873" w:right="379" w:bottom="1440" w:gutter="0" w:footer="0" w:header="0"/>
        </w:sectPr>
      </w:pPr>
    </w:p>
    <w:bookmarkStart w:id="27" w:name="page28"/>
    <w:bookmarkEnd w:id="27"/>
    <w:p>
      <w:pPr>
        <w:ind w:right="200" w:firstLine="646"/>
        <w:spacing w:after="0" w:line="272" w:lineRule="auto"/>
        <w:rPr>
          <w:sz w:val="20"/>
          <w:szCs w:val="20"/>
          <w:color w:val="auto"/>
        </w:rPr>
      </w:pPr>
      <w:r>
        <w:rPr>
          <w:rFonts w:ascii="Times New Roman" w:cs="Times New Roman" w:eastAsia="Times New Roman" w:hAnsi="Times New Roman"/>
          <w:sz w:val="17"/>
          <w:szCs w:val="17"/>
          <w:color w:val="auto"/>
        </w:rPr>
        <w:t>In addition, under the Hatch-Waxman Amendments, the FDA may not approve an ANDA or 505(b)(2) NDA until any applicable period of non-patent exclusivity for the RLD has expired. These market exclusivity provisions under the FDCA also can delay the submission or the approval of certain applications. The FDCA provides a period of five years of non-patent data exclusivity for a new drug containing a new chemical entity (“NCE”). For the purposes of this provision, an NCE, is a drug that contains no active moiety that has previously been approved by the FDA in any other NDA. An active moiety is the molecule or ion responsible for the physiological or pharmacological action of the drug substance. In cases where such NCE exclusivity has been granted, an ANDA or 505(b)(2) NDA may not be filed with the FDA until the expiration of five years unless the submission is accompanied by a Paragraph IV certification (described below), in which case the applicant may submit its application four years following the original product approval.</w:t>
      </w:r>
    </w:p>
    <w:p>
      <w:pPr>
        <w:spacing w:after="0" w:line="173" w:lineRule="exact"/>
        <w:rPr>
          <w:sz w:val="20"/>
          <w:szCs w:val="20"/>
          <w:color w:val="auto"/>
        </w:rPr>
      </w:pPr>
    </w:p>
    <w:p>
      <w:pPr>
        <w:ind w:right="20" w:firstLine="646"/>
        <w:spacing w:after="0" w:line="254" w:lineRule="auto"/>
        <w:rPr>
          <w:sz w:val="20"/>
          <w:szCs w:val="20"/>
          <w:color w:val="auto"/>
        </w:rPr>
      </w:pPr>
      <w:r>
        <w:rPr>
          <w:rFonts w:ascii="Times New Roman" w:cs="Times New Roman" w:eastAsia="Times New Roman" w:hAnsi="Times New Roman"/>
          <w:sz w:val="18"/>
          <w:szCs w:val="18"/>
          <w:color w:val="auto"/>
        </w:rPr>
        <w:t>The FDCA also provides for a period of three years of exclusivity for an NDA, 505(b)(2) NDA or supplement thereto if one or more new clinical investigations, other than bioavailability or bioequivalence studies, that were conducted by or for the applicant are deemed by the FDA to be essential to the approval of the application. This three-year exclusivity period often protects changes to a previously approved drug product, such as a new dosage form, route of administration, combination or indication. The three-year exclusivity covers only the conditions of use associated with the new clinical investigations and does not prohibit the FDA from approving follow-on applications for drugs containing the original active agent. Five-year and three-year exclusivity also will not delay the submission or approval of a traditional NDA filed under Section 505(b)(1) of the FDCA. However, an applicant submitting a traditional NDA would be required to either conduct or obtain a right of reference to all of the preclinical studies and adequate and well-controlled clinical trials necessary to demonstrate safety and effectiveness.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Hatch-Waxman Patent Certification and the 30-Month Stay</w:t>
      </w:r>
    </w:p>
    <w:p>
      <w:pPr>
        <w:spacing w:after="0" w:line="226" w:lineRule="exact"/>
        <w:rPr>
          <w:sz w:val="20"/>
          <w:szCs w:val="20"/>
          <w:color w:val="auto"/>
        </w:rPr>
      </w:pPr>
    </w:p>
    <w:p>
      <w:pPr>
        <w:ind w:right="60" w:firstLine="646"/>
        <w:spacing w:after="0" w:line="270" w:lineRule="auto"/>
        <w:rPr>
          <w:sz w:val="20"/>
          <w:szCs w:val="20"/>
          <w:color w:val="auto"/>
        </w:rPr>
      </w:pPr>
      <w:r>
        <w:rPr>
          <w:rFonts w:ascii="Times New Roman" w:cs="Times New Roman" w:eastAsia="Times New Roman" w:hAnsi="Times New Roman"/>
          <w:sz w:val="17"/>
          <w:szCs w:val="17"/>
          <w:color w:val="auto"/>
        </w:rPr>
        <w:t>Upon approval of an NDA or a supplement thereto, NDA sponsors are required to list with the FDA each patent with claims that cover the applicant’s product or an approved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 which the ANDA applicant is not seeking approval. To the extent that the Section 505(b)</w:t>
      </w:r>
    </w:p>
    <w:p>
      <w:pPr>
        <w:spacing w:after="0" w:line="1" w:lineRule="exact"/>
        <w:rPr>
          <w:sz w:val="20"/>
          <w:szCs w:val="20"/>
          <w:color w:val="auto"/>
        </w:rPr>
      </w:pPr>
    </w:p>
    <w:p>
      <w:pPr>
        <w:ind w:right="220" w:firstLine="8"/>
        <w:spacing w:after="0" w:line="259" w:lineRule="auto"/>
        <w:tabs>
          <w:tab w:leader="none" w:pos="2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NDA applicant is relying on studies conducted for an already approved product, the applicant is required to certify to the FDA concerning any patents listed for the approved product in the Orange Book to the same extent that an ANDA applicant would.</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Specifically, the applicant must certify with respect to each patent that:</w:t>
      </w:r>
    </w:p>
    <w:p>
      <w:pPr>
        <w:spacing w:after="0" w:line="224" w:lineRule="exact"/>
        <w:rPr>
          <w:sz w:val="20"/>
          <w:szCs w:val="20"/>
          <w:color w:val="auto"/>
        </w:rPr>
      </w:pPr>
    </w:p>
    <w:p>
      <w:pPr>
        <w:ind w:left="980" w:hanging="32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patent information has not been filed by the original applicant;</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expired;</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has not expired, but will expire on a particular date and approval is sought after patent expiration; or</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listed patent is invalid, unenforceable or will not be infringed by the manufacture, use or sale of the new product.</w:t>
      </w:r>
    </w:p>
    <w:p>
      <w:pPr>
        <w:spacing w:after="0" w:line="224" w:lineRule="exact"/>
        <w:rPr>
          <w:sz w:val="20"/>
          <w:szCs w:val="20"/>
          <w:color w:val="auto"/>
        </w:rPr>
      </w:pPr>
    </w:p>
    <w:p>
      <w:pPr>
        <w:ind w:right="40" w:firstLine="646"/>
        <w:spacing w:after="0" w:line="260" w:lineRule="auto"/>
        <w:rPr>
          <w:sz w:val="20"/>
          <w:szCs w:val="20"/>
          <w:color w:val="auto"/>
        </w:rPr>
      </w:pPr>
      <w:r>
        <w:rPr>
          <w:rFonts w:ascii="Times New Roman" w:cs="Times New Roman" w:eastAsia="Times New Roman" w:hAnsi="Times New Roman"/>
          <w:sz w:val="18"/>
          <w:szCs w:val="18"/>
          <w:color w:val="auto"/>
        </w:rPr>
        <w:t>If a Paragraph I or II certification is filed, the FDA may make approval of the application effective immediately upon completion of its review. If a Paragraph III certification is filed, the approval may be made effective on the patent expiration date specified in the application, although a tentative approval may be issued before that time. If an application contains a Paragraph IV certification, a series of events will be triggered, the outcome of which will determine the effective date of approval of the ANDA or 505(b)(2) application.</w:t>
      </w:r>
    </w:p>
    <w:p>
      <w:pPr>
        <w:spacing w:after="0" w:line="181" w:lineRule="exact"/>
        <w:rPr>
          <w:sz w:val="20"/>
          <w:szCs w:val="20"/>
          <w:color w:val="auto"/>
        </w:rPr>
      </w:pPr>
    </w:p>
    <w:p>
      <w:pPr>
        <w:ind w:firstLine="646"/>
        <w:spacing w:after="0" w:line="255" w:lineRule="auto"/>
        <w:rPr>
          <w:sz w:val="20"/>
          <w:szCs w:val="20"/>
          <w:color w:val="auto"/>
        </w:rPr>
      </w:pPr>
      <w:r>
        <w:rPr>
          <w:rFonts w:ascii="Times New Roman" w:cs="Times New Roman" w:eastAsia="Times New Roman" w:hAnsi="Times New Roman"/>
          <w:sz w:val="18"/>
          <w:szCs w:val="18"/>
          <w:color w:val="auto"/>
        </w:rPr>
        <w:t>If the follow-on applicant has provided a Paragraph IV certification to the FDA, the applicant must also send notice of the Paragraph IV certification to the NDA and patent holders once the follow-on application in question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or 505(b)(2) NDA until the earlier of 30 months after the receipt of the Paragraph IV notice, expiration of the patent, or a decision in the infringement case that is favorable to the ANDA or 505(b)(2) applicant. Alternatively, if the listed patent holder does not file a patent infringement lawsuit within the required 45-day period, the follow-on applicant’s ANDA or 505(b)(2) NDA will not be subject to the 30-month stay.</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Other U.S. Healthcare Laws and Regulations</w:t>
      </w:r>
    </w:p>
    <w:p>
      <w:pPr>
        <w:spacing w:after="0" w:line="226" w:lineRule="exact"/>
        <w:rPr>
          <w:sz w:val="20"/>
          <w:szCs w:val="20"/>
          <w:color w:val="auto"/>
        </w:rPr>
      </w:pPr>
    </w:p>
    <w:p>
      <w:pPr>
        <w:ind w:right="300" w:firstLine="646"/>
        <w:spacing w:after="0" w:line="260" w:lineRule="auto"/>
        <w:rPr>
          <w:sz w:val="20"/>
          <w:szCs w:val="20"/>
          <w:color w:val="auto"/>
        </w:rPr>
      </w:pPr>
      <w:r>
        <w:rPr>
          <w:rFonts w:ascii="Times New Roman" w:cs="Times New Roman" w:eastAsia="Times New Roman" w:hAnsi="Times New Roman"/>
          <w:sz w:val="18"/>
          <w:szCs w:val="18"/>
          <w:color w:val="auto"/>
        </w:rPr>
        <w:t>If our drug candidates are approved in the United States, we will have to comply with various U.S. federal and state laws, rules and regulations pertaining to healthcare fraud and abuse, including anti-kickback laws and physician self-referral laws, rules and regulations. Violations of the fraud and abuse laws are punishable by criminal and civil sanctions, including, in some instances, exclusion from participation in federal and state healthcare programs, including Medicare and Medicaid. These laws include:</w:t>
      </w:r>
    </w:p>
    <w:p>
      <w:pPr>
        <w:spacing w:after="0" w:line="181" w:lineRule="exact"/>
        <w:rPr>
          <w:sz w:val="20"/>
          <w:szCs w:val="20"/>
          <w:color w:val="auto"/>
        </w:rPr>
      </w:pPr>
    </w:p>
    <w:p>
      <w:pPr>
        <w:ind w:left="980" w:right="40" w:hanging="326"/>
        <w:spacing w:after="0" w:line="256"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(the “AKS”) prohibits, among other things, persons from knowingly and willfully soliciting, offering, receiving or paying remuneration, directly or indirectly, in cash or in kind, to induce or reward either the referral of an individual for, or the purchase, order or recommendation of, any good or service, for which payment may be made, in whole or in part, under a federal healthcare program such as Medicare and Medicaid. A person or entity does not need to have actual knowledge of the AKS or specific intent to violate it to have committed a violation. In addition, the government may assert that a claim including items or services resulting from a violation of the AKS constitutes a false or fraudulent claim for purposes of the FCA or federal civil money penalties statute;</w:t>
      </w:r>
    </w:p>
    <w:p>
      <w:pPr>
        <w:spacing w:after="0" w:line="183" w:lineRule="exact"/>
        <w:rPr>
          <w:rFonts w:ascii="Times New Roman" w:cs="Times New Roman" w:eastAsia="Times New Roman" w:hAnsi="Times New Roman"/>
          <w:sz w:val="18"/>
          <w:szCs w:val="18"/>
          <w:color w:val="auto"/>
        </w:rPr>
      </w:pPr>
    </w:p>
    <w:p>
      <w:pPr>
        <w:ind w:left="980" w:hanging="326"/>
        <w:spacing w:after="0" w:line="254"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and criminal false claims laws and civil monetary penalty laws, including the federal False Claims Act, which prohibit, among other things, individuals or entities from knowingly presenting, or causing to be presented, false or fraudulent claims for payment to, or approval by Medicare, Medicaid, or other federal healthcare programs, knowingly making, using or causing to be made or used a false record or statement material to a false or fraudulent claim or an obligation to pay or transmit money to the federal government, or knowingly concealing or knowingly and improperly avoiding or decreasing or concealing an obligation to pay money to the federal government. Manufacturers can be held liable under the FCA even when they do not submit claims directly to government payers if they are deemed to “cause” the submission of false or fraudulent claims. The FCA also permits a private individual acting as a “whistleblower” to bring actions on behalf of the federal government alleging violations of the FCA and to share in any monetary recovery;</w:t>
      </w:r>
    </w:p>
    <w:p>
      <w:pPr>
        <w:spacing w:after="0" w:line="186" w:lineRule="exact"/>
        <w:rPr>
          <w:rFonts w:ascii="Times New Roman" w:cs="Times New Roman" w:eastAsia="Times New Roman" w:hAnsi="Times New Roman"/>
          <w:sz w:val="18"/>
          <w:szCs w:val="18"/>
          <w:color w:val="auto"/>
        </w:rPr>
      </w:pPr>
    </w:p>
    <w:p>
      <w:pPr>
        <w:ind w:left="980" w:right="300" w:hanging="326"/>
        <w:spacing w:after="0" w:line="281"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Insurance Portability and Accountability Act of 1996 (“HIPAA”) imposes criminal and civil liability for executing a scheme to defraud any healthcare benefit program or making false statements relating to healthcare matters;</w:t>
      </w:r>
    </w:p>
    <w:p>
      <w:pPr>
        <w:spacing w:after="0" w:line="161" w:lineRule="exact"/>
        <w:rPr>
          <w:rFonts w:ascii="Times New Roman" w:cs="Times New Roman" w:eastAsia="Times New Roman" w:hAnsi="Times New Roman"/>
          <w:sz w:val="18"/>
          <w:szCs w:val="18"/>
          <w:color w:val="auto"/>
        </w:rPr>
      </w:pPr>
    </w:p>
    <w:p>
      <w:pPr>
        <w:ind w:left="980" w:right="400" w:hanging="326"/>
        <w:spacing w:after="0" w:line="265"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176" w:lineRule="exact"/>
        <w:rPr>
          <w:rFonts w:ascii="Times New Roman" w:cs="Times New Roman" w:eastAsia="Times New Roman" w:hAnsi="Times New Roman"/>
          <w:sz w:val="18"/>
          <w:szCs w:val="18"/>
          <w:color w:val="auto"/>
        </w:rPr>
      </w:pPr>
    </w:p>
    <w:p>
      <w:pPr>
        <w:ind w:left="980" w:right="180" w:hanging="326"/>
        <w:spacing w:after="0" w:line="256"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Physician Payments Sunshine Act require manufacturers of FDA-approved drugs, devices, biologics and medical supplies covered by Medicare or Medicaid to report, on an annual basis, to the Centers for Medicare and Medicaid Services (“CMS”) information related to payments and other transfers of value to physicians, certain advanced non-physician healthcare practitioners, and teaching hospitals or to entities or individuals at the request of, or designated on behalf of, such physicians, non-physician healthcare practitioners, and teaching hospitals as well as certain ownership and investment interests held by physicians and their immediate family members; and</w:t>
      </w:r>
    </w:p>
    <w:p>
      <w:pPr>
        <w:spacing w:after="0" w:line="183" w:lineRule="exact"/>
        <w:rPr>
          <w:rFonts w:ascii="Times New Roman" w:cs="Times New Roman" w:eastAsia="Times New Roman" w:hAnsi="Times New Roman"/>
          <w:sz w:val="18"/>
          <w:szCs w:val="18"/>
          <w:color w:val="auto"/>
        </w:rPr>
      </w:pPr>
    </w:p>
    <w:p>
      <w:pPr>
        <w:ind w:left="980" w:right="20" w:hanging="326"/>
        <w:spacing w:after="0" w:line="311" w:lineRule="auto"/>
        <w:tabs>
          <w:tab w:leader="none" w:pos="98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Analogous state and international laws and regulations, such as state anti-kickback and false claims laws, may apply to sales or marketing arrangements and claims involving healthcare items or services reimbursed by nongovernmental third-party payors, including private insurers.</w:t>
      </w:r>
    </w:p>
    <w:p>
      <w:pPr>
        <w:spacing w:after="0" w:line="140" w:lineRule="exact"/>
        <w:rPr>
          <w:sz w:val="20"/>
          <w:szCs w:val="20"/>
          <w:color w:val="auto"/>
        </w:rPr>
      </w:pPr>
    </w:p>
    <w:p>
      <w:pPr>
        <w:ind w:right="140" w:firstLine="646"/>
        <w:spacing w:after="0" w:line="255" w:lineRule="auto"/>
        <w:rPr>
          <w:sz w:val="20"/>
          <w:szCs w:val="20"/>
          <w:color w:val="auto"/>
        </w:rPr>
      </w:pPr>
      <w:r>
        <w:rPr>
          <w:rFonts w:ascii="Times New Roman" w:cs="Times New Roman" w:eastAsia="Times New Roman" w:hAnsi="Times New Roman"/>
          <w:sz w:val="18"/>
          <w:szCs w:val="18"/>
          <w:color w:val="auto"/>
        </w:rPr>
        <w:t>The majority of the states in the United States also have statutes or regulations similar to the aforementioned federal laws, some of which are broader in scope and apply to items and services reimbursed under Medicaid and other state programs, or, in several states, apply regardless of the payor. Some state laws require pharmaceutical companies to comply with the pharmaceutical industry’s voluntary compliance guidelines, or the relevant compliance guidance promulgated by the federal government, in addition to requiring drug manufacturers to report information related to payments to physicians and other healthcare providers or marketing expenditures to the extent that those laws impose requirements that are more stringent than the Physician Payments Sunshine Act. State and international laws also govern the privacy and security of health information in some circumstances, many of which differ from each other in significant ways and often are not preempted by HIPAA, thus complicating compliance efforts.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9" w:name="page30"/>
    <w:bookmarkEnd w:id="29"/>
    <w:p>
      <w:pPr>
        <w:ind w:right="20" w:firstLine="646"/>
        <w:spacing w:after="0" w:line="257" w:lineRule="auto"/>
        <w:rPr>
          <w:sz w:val="20"/>
          <w:szCs w:val="20"/>
          <w:color w:val="auto"/>
        </w:rPr>
      </w:pPr>
      <w:r>
        <w:rPr>
          <w:rFonts w:ascii="Times New Roman" w:cs="Times New Roman" w:eastAsia="Times New Roman" w:hAnsi="Times New Roman"/>
          <w:sz w:val="18"/>
          <w:szCs w:val="18"/>
          <w:color w:val="auto"/>
        </w:rPr>
        <w:t>Due to the breadth of these laws and the narrowness of their exceptions and safe harbors, it is possible that business activities can be subject to challenge under one or more of such laws. The scope and enforcement of each of these laws is uncertain and subject to rapid change in the current environment of healthcare reform, especially in light of the lack of applicable precedent and regulations. Federal and state enforcement bodies have recently increased their scrutiny of interactions between healthcare companies and healthcare providers, which has led to a number of investigations, prosecutions, convictions and settlements in the healthcare industry.</w:t>
      </w:r>
    </w:p>
    <w:p>
      <w:pPr>
        <w:spacing w:after="0" w:line="185" w:lineRule="exact"/>
        <w:rPr>
          <w:sz w:val="20"/>
          <w:szCs w:val="20"/>
          <w:color w:val="auto"/>
        </w:rPr>
      </w:pPr>
    </w:p>
    <w:p>
      <w:pPr>
        <w:ind w:right="60" w:firstLine="646"/>
        <w:spacing w:after="0" w:line="255" w:lineRule="auto"/>
        <w:rPr>
          <w:sz w:val="20"/>
          <w:szCs w:val="20"/>
          <w:color w:val="auto"/>
        </w:rPr>
      </w:pPr>
      <w:r>
        <w:rPr>
          <w:rFonts w:ascii="Times New Roman" w:cs="Times New Roman" w:eastAsia="Times New Roman" w:hAnsi="Times New Roman"/>
          <w:sz w:val="18"/>
          <w:szCs w:val="18"/>
          <w:color w:val="auto"/>
        </w:rPr>
        <w:t>Ensuring that business arrangements with third parties comply with applicable healthcare laws and regulations is costly and time consuming. If business operations are found to be in violation of any of the laws described above or any other applicable governmental regulations a pharmaceutical manufacturer may be subject to penalties, including civil, criminal and administrative penalties, damages, fines, disgorgement, individual imprisonment, exclusion from governmental funded healthcare programs, such as Medicare and Medicaid, contractual damages, reputational harm, diminished profits and future earnings, additional reporting obligations and oversight if subject to a corporate integrity agreement or other agreement to resolve allegations of non-compliance with these laws, and curtailment or restructuring of operations, any of which could adversely affect a pharmaceutical manufacturer’s ability to operate its business and the results of its operations.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Regulation</w:t>
      </w:r>
    </w:p>
    <w:p>
      <w:pPr>
        <w:spacing w:after="0" w:line="228" w:lineRule="exact"/>
        <w:rPr>
          <w:sz w:val="20"/>
          <w:szCs w:val="20"/>
          <w:color w:val="auto"/>
        </w:rPr>
      </w:pPr>
    </w:p>
    <w:p>
      <w:pPr>
        <w:ind w:right="160" w:firstLine="646"/>
        <w:spacing w:after="0" w:line="257" w:lineRule="auto"/>
        <w:rPr>
          <w:sz w:val="20"/>
          <w:szCs w:val="20"/>
          <w:color w:val="auto"/>
        </w:rPr>
      </w:pPr>
      <w:r>
        <w:rPr>
          <w:rFonts w:ascii="Times New Roman" w:cs="Times New Roman" w:eastAsia="Times New Roman" w:hAnsi="Times New Roman"/>
          <w:sz w:val="18"/>
          <w:szCs w:val="18"/>
          <w:color w:val="auto"/>
        </w:rPr>
        <w:t>In addition to regulations in the United States, we are subject to a variety of international regulations governing clinical trials and the commercial sales and distribution of our drug candidates. Whether or not we obtain FDA approval for a drug product, we must obtain approval of such product by the comparable regulatory authorities of international countries before we can commence clinical trials or marketing of the product in those countries. The approval process varies from country to country and the time may be longer or shorter than that required for FDA approval. In addition, the requirements governing the conduct of clinical trials vary greatly from country to country.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Union and United Kingdom</w:t>
      </w:r>
    </w:p>
    <w:p>
      <w:pPr>
        <w:spacing w:after="0" w:line="228" w:lineRule="exact"/>
        <w:rPr>
          <w:sz w:val="20"/>
          <w:szCs w:val="20"/>
          <w:color w:val="auto"/>
        </w:rPr>
      </w:pPr>
    </w:p>
    <w:p>
      <w:pPr>
        <w:ind w:right="60" w:firstLine="646"/>
        <w:spacing w:after="0" w:line="252" w:lineRule="auto"/>
        <w:rPr>
          <w:sz w:val="20"/>
          <w:szCs w:val="20"/>
          <w:color w:val="auto"/>
        </w:rPr>
      </w:pPr>
      <w:r>
        <w:rPr>
          <w:rFonts w:ascii="Times New Roman" w:cs="Times New Roman" w:eastAsia="Times New Roman" w:hAnsi="Times New Roman"/>
          <w:sz w:val="18"/>
          <w:szCs w:val="18"/>
          <w:color w:val="auto"/>
        </w:rPr>
        <w:t>In the European Economic Area (“EEA”), which is comprised of the Member States of the European Union plus Norway, Iceland and Liechtenstein, medicinal products can only be commercialized after obtaining marketing authorization from the European Medicines Agency (“EMA”). Under EU regulatory systems, we must submit and obtain authorization for a clinical trial application in each member state in which we intend to conduct a clinical trial. When conducting clinical trials in the European Union, we must adhere to the provisions of the European Union Clinical Trials Directive (Directive 2001/20/EC) and the laws and regulations of the EU Member States implementing them. These provisions require, among other things, that the prior authorization of an Ethics Committee and the competent Member State authority is obtained before commencing the clinical trial. In 2014, the new Clinical Trials Regulation, (EU) No 536/2014, Clinical Trials Regulation, was adopted and it became effective on January 31, 2022. The Clinical Trials Regulation is directly applicable in all of the EU Member States, as it repealed the Clinical Trials Directive 2001/20/EC. The extent to which ongoing clinical trials will be governed by the Clinical Trials Regulation depends on when the Clinical Trials Regulation became applicable and on the duration of the individual clinical trial. If a clinical trial continues for more than three years from the day on which the Clinical Trials Regulation became applicable (i.e., beyond January 30, 2025), the Clinical Trials Regulation will at that time begin to apply to the clinical trial.</w:t>
      </w:r>
    </w:p>
    <w:p>
      <w:pPr>
        <w:spacing w:after="0" w:line="195" w:lineRule="exact"/>
        <w:rPr>
          <w:sz w:val="20"/>
          <w:szCs w:val="20"/>
          <w:color w:val="auto"/>
        </w:rPr>
      </w:pPr>
    </w:p>
    <w:p>
      <w:pPr>
        <w:ind w:firstLine="646"/>
        <w:spacing w:after="0" w:line="253" w:lineRule="auto"/>
        <w:rPr>
          <w:sz w:val="20"/>
          <w:szCs w:val="20"/>
          <w:color w:val="auto"/>
        </w:rPr>
      </w:pPr>
      <w:r>
        <w:rPr>
          <w:rFonts w:ascii="Times New Roman" w:cs="Times New Roman" w:eastAsia="Times New Roman" w:hAnsi="Times New Roman"/>
          <w:sz w:val="18"/>
          <w:szCs w:val="18"/>
          <w:color w:val="auto"/>
        </w:rPr>
        <w:t>The Clinical Trials Regulation aims to simplify and streamline the approval of clinical trials in the European Union. The main characteristics of the regulation include: a streamlined application procedure via a single-entry point, the “EU portal” or Clinical Trial Information System (“CTIS”);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(Member States concerned). Part II is assessed separately by each Member State concerned. Strict deadlines have been established for the assessment of clinical trial applications. The role of the relevant ethics committees in the assessment procedure will continue to be governed by the national law of the concerned EU Member State. However, overall related timelines will be defined by the Clinical Trials Regulation. Use of the CTIS became mandatory for new clinical trial application submissions as of February 1, 2023.</w:t>
      </w:r>
    </w:p>
    <w:p>
      <w:pPr>
        <w:spacing w:after="0" w:line="191" w:lineRule="exact"/>
        <w:rPr>
          <w:sz w:val="20"/>
          <w:szCs w:val="20"/>
          <w:color w:val="auto"/>
        </w:rPr>
      </w:pPr>
    </w:p>
    <w:p>
      <w:pPr>
        <w:ind w:right="220" w:firstLine="646"/>
        <w:spacing w:after="0" w:line="311" w:lineRule="auto"/>
        <w:rPr>
          <w:sz w:val="20"/>
          <w:szCs w:val="20"/>
          <w:color w:val="auto"/>
        </w:rPr>
      </w:pPr>
      <w:r>
        <w:rPr>
          <w:rFonts w:ascii="Times New Roman" w:cs="Times New Roman" w:eastAsia="Times New Roman" w:hAnsi="Times New Roman"/>
          <w:sz w:val="17"/>
          <w:szCs w:val="17"/>
          <w:color w:val="auto"/>
        </w:rPr>
        <w:t>After we have completed our clinical trials, we must obtain marketing authorization before we can market our drug products in the European Union. We may submit Marketing Authorization Applications (“MAAs”) under the centralized procedure or one of the national authorization procedures.</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0" w:name="page31"/>
    <w:bookmarkEnd w:id="30"/>
    <w:p>
      <w:pPr>
        <w:ind w:firstLine="646"/>
        <w:spacing w:after="0" w:line="256" w:lineRule="auto"/>
        <w:rPr>
          <w:sz w:val="20"/>
          <w:szCs w:val="20"/>
          <w:color w:val="auto"/>
        </w:rPr>
      </w:pPr>
      <w:r>
        <w:rPr>
          <w:rFonts w:ascii="Times New Roman" w:cs="Times New Roman" w:eastAsia="Times New Roman" w:hAnsi="Times New Roman"/>
          <w:sz w:val="18"/>
          <w:szCs w:val="18"/>
          <w:color w:val="auto"/>
        </w:rPr>
        <w:t>The EMA is a body of the European Union located in Amsterdam. The EMA is responsible for the scientific evaluation of medicines developed by pharmaceutical companies for use in the European Union. The EMA is involved in the scientific evaluation of medicines that fall within the scope of the centralized procedure. Like the FDA, there is a harmonization between regulators and the EMA may inspect and audit the development facilities, planned production facilities, clinical trial sites and laboratory facilities. Additionally, after the product is approved and marketed, the EMA uses various mechanisms for assuring that firms adhere to the terms and conditions of approval described in the application and that the product is manufactured in a consistent and controlled manner.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Centralized Procedure</w:t>
      </w:r>
    </w:p>
    <w:p>
      <w:pPr>
        <w:spacing w:after="0" w:line="226" w:lineRule="exact"/>
        <w:rPr>
          <w:sz w:val="20"/>
          <w:szCs w:val="20"/>
          <w:color w:val="auto"/>
        </w:rPr>
      </w:pPr>
    </w:p>
    <w:p>
      <w:pPr>
        <w:ind w:firstLine="646"/>
        <w:spacing w:after="0" w:line="254" w:lineRule="auto"/>
        <w:rPr>
          <w:sz w:val="20"/>
          <w:szCs w:val="20"/>
          <w:color w:val="auto"/>
        </w:rPr>
      </w:pPr>
      <w:r>
        <w:rPr>
          <w:rFonts w:ascii="Times New Roman" w:cs="Times New Roman" w:eastAsia="Times New Roman" w:hAnsi="Times New Roman"/>
          <w:sz w:val="18"/>
          <w:szCs w:val="18"/>
          <w:color w:val="auto"/>
        </w:rPr>
        <w:t>The centralized procedure provides for the grant of a single marketing authorization by the European Commission, through the EMA, that is valid throughout the EEA. This marketing authorization process is compulsory for medicines produced by specified biotechnological processes, products designated as orphan medicinal products, advanced-therapy medicines (such as gene-therapy, somatic cell-therapy or tissue-engineered medicines) and products with a new active substance indicated for the treatment of specified diseases, such as HIV/AIDS, cancer, diabetes, neurodegenerative disorders or autoimmune diseases and other immune dysfunctions and viral diseases. For those products for which the use of the centralized procedure is not mandatory, applicants may elect to use the centralized procedure where either the product contains a new active substance indicated for the treatment of diseases other than those on the mandatory list, or where the applicant can show that the product constitutes a significant therapeutic, scientific or technical innovation, or for which a centralized process is in the interest of public health.</w:t>
      </w:r>
    </w:p>
    <w:p>
      <w:pPr>
        <w:spacing w:after="0" w:line="187" w:lineRule="exact"/>
        <w:rPr>
          <w:sz w:val="20"/>
          <w:szCs w:val="20"/>
          <w:color w:val="auto"/>
        </w:rPr>
      </w:pPr>
    </w:p>
    <w:p>
      <w:pPr>
        <w:ind w:right="80" w:firstLine="646"/>
        <w:spacing w:after="0" w:line="253" w:lineRule="auto"/>
        <w:rPr>
          <w:sz w:val="20"/>
          <w:szCs w:val="20"/>
          <w:color w:val="auto"/>
        </w:rPr>
      </w:pPr>
      <w:r>
        <w:rPr>
          <w:rFonts w:ascii="Times New Roman" w:cs="Times New Roman" w:eastAsia="Times New Roman" w:hAnsi="Times New Roman"/>
          <w:sz w:val="18"/>
          <w:szCs w:val="18"/>
          <w:color w:val="auto"/>
        </w:rPr>
        <w:t>Under the centralized procedure, the Committee for Medicinal Products for Human Use (the “CHMP”), which is the EMA’s committee that is responsible for human medicines, established at the EMA is responsible for conducting the assessment of whether a medicine meets the required quality, safety and efficacy requirements, and whether it has a positive benefit/risk profile. The maximum timeframe for the evaluation of a MAA is 210 days from the receipt of a valid MAA, excluding clock stops when additional information or written or oral explanation is to be provided by the applicant in response to questions of the CHMP. Clock stops may extend the timeframe of evaluation of a MAA considerably beyond 210 days. Where the CHMP gives a positive opinion, it provides the opinion together with supporting documentation to the European Commission, which makes the final decision to grant a marketing authorization. Accelerated evaluation may be granted by the CHMP in exceptional cases, when a medicinal product is expected to be of major interest to the public health and, in particular, from the viewpoint of therapeutic innovation. If the CHMP accepts such a request, the timeframe for assessment is 150 days (excluding clock stops), but it is possible that the CHMP may revert to the standard review timeframe for the centralized procedure if it determines that the MAA is no longer appropriate to conduct an accelerated assessment.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National Authorization Procedures</w:t>
      </w:r>
    </w:p>
    <w:p>
      <w:pPr>
        <w:spacing w:after="0" w:line="226" w:lineRule="exact"/>
        <w:rPr>
          <w:sz w:val="20"/>
          <w:szCs w:val="20"/>
          <w:color w:val="auto"/>
        </w:rPr>
      </w:pPr>
    </w:p>
    <w:p>
      <w:pPr>
        <w:ind w:right="80" w:firstLine="646"/>
        <w:spacing w:after="0" w:line="281" w:lineRule="auto"/>
        <w:rPr>
          <w:sz w:val="20"/>
          <w:szCs w:val="20"/>
          <w:color w:val="auto"/>
        </w:rPr>
      </w:pPr>
      <w:r>
        <w:rPr>
          <w:rFonts w:ascii="Times New Roman" w:cs="Times New Roman" w:eastAsia="Times New Roman" w:hAnsi="Times New Roman"/>
          <w:sz w:val="18"/>
          <w:szCs w:val="18"/>
          <w:color w:val="auto"/>
        </w:rPr>
        <w:t>There are also two other possible routes to authorize medicinal products in several EU countries, which are available for investigational medicinal products that fall outside the scope of the centralized procedure:</w:t>
      </w:r>
    </w:p>
    <w:p>
      <w:pPr>
        <w:spacing w:after="0" w:line="162" w:lineRule="exact"/>
        <w:rPr>
          <w:sz w:val="20"/>
          <w:szCs w:val="20"/>
          <w:color w:val="auto"/>
        </w:rPr>
      </w:pPr>
    </w:p>
    <w:p>
      <w:pPr>
        <w:jc w:val="both"/>
        <w:ind w:left="980" w:right="400" w:hanging="321"/>
        <w:spacing w:after="0" w:line="265"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Decentralized procedure. Using the decentralized procedure, an applicant may apply for simultaneous authorization in more than one EU country of medicinal products that have not yet been authorized in any EU country and that do not fall within the mandatory scope of the centralized procedure.</w:t>
      </w:r>
    </w:p>
    <w:p>
      <w:pPr>
        <w:spacing w:after="0" w:line="176" w:lineRule="exact"/>
        <w:rPr>
          <w:rFonts w:ascii="Times New Roman" w:cs="Times New Roman" w:eastAsia="Times New Roman" w:hAnsi="Times New Roman"/>
          <w:sz w:val="18"/>
          <w:szCs w:val="18"/>
          <w:color w:val="auto"/>
        </w:rPr>
      </w:pPr>
    </w:p>
    <w:p>
      <w:pPr>
        <w:ind w:left="980" w:right="340" w:hanging="321"/>
        <w:spacing w:after="0" w:line="288" w:lineRule="auto"/>
        <w:tabs>
          <w:tab w:leader="none" w:pos="98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Mutual recognition procedure. In the mutual recognition procedure, a medicine is first authorized in one EU Member State, in accordance with the national procedures of that country. Following this, further marketing authorizations can be sought from other EU countries in a procedure whereby the countries concerned agree to recognize the validity of the original, national marketing authorization.</w:t>
      </w:r>
    </w:p>
    <w:p>
      <w:pPr>
        <w:spacing w:after="0" w:line="158" w:lineRule="exact"/>
        <w:rPr>
          <w:sz w:val="20"/>
          <w:szCs w:val="20"/>
          <w:color w:val="auto"/>
        </w:rPr>
      </w:pPr>
    </w:p>
    <w:p>
      <w:pPr>
        <w:ind w:firstLine="646"/>
        <w:spacing w:after="0" w:line="281" w:lineRule="auto"/>
        <w:rPr>
          <w:sz w:val="20"/>
          <w:szCs w:val="20"/>
          <w:color w:val="auto"/>
        </w:rPr>
      </w:pPr>
      <w:r>
        <w:rPr>
          <w:rFonts w:ascii="Times New Roman" w:cs="Times New Roman" w:eastAsia="Times New Roman" w:hAnsi="Times New Roman"/>
          <w:sz w:val="18"/>
          <w:szCs w:val="18"/>
          <w:color w:val="auto"/>
        </w:rPr>
        <w:t>Under the above-described procedures, before granting the marketing authorization, the EMA or the competent authorities of the Member States of the EEA make an assessment of the risk-benefit balance of the product on the basis of scientific criteria concerning its quality, safety and efficacy.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PRIME Scheme</w:t>
      </w:r>
    </w:p>
    <w:p>
      <w:pPr>
        <w:spacing w:after="0" w:line="226" w:lineRule="exact"/>
        <w:rPr>
          <w:sz w:val="20"/>
          <w:szCs w:val="20"/>
          <w:color w:val="auto"/>
        </w:rPr>
      </w:pPr>
    </w:p>
    <w:p>
      <w:pPr>
        <w:jc w:val="both"/>
        <w:ind w:right="180" w:firstLine="646"/>
        <w:spacing w:after="0" w:line="288" w:lineRule="auto"/>
        <w:rPr>
          <w:sz w:val="20"/>
          <w:szCs w:val="20"/>
          <w:color w:val="auto"/>
        </w:rPr>
      </w:pPr>
      <w:r>
        <w:rPr>
          <w:rFonts w:ascii="Times New Roman" w:cs="Times New Roman" w:eastAsia="Times New Roman" w:hAnsi="Times New Roman"/>
          <w:sz w:val="17"/>
          <w:szCs w:val="17"/>
          <w:color w:val="auto"/>
        </w:rPr>
        <w:t>EMA now offers a scheme that is intended to reinforce early dialogue with, and regulatory support from, EMA in order to stimulate innovation, optimize development and enable accelerated assessment of PRIority Medicines (“PRIME”). It is intended to build upon the scientific advice scheme and accelerated assessment procedure offered by EMA. The scheme is voluntary and eligibility criteria must be met for a medicine to qualify for PRIME.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31" w:name="page32"/>
    <w:bookmarkEnd w:id="31"/>
    <w:p>
      <w:pPr>
        <w:ind w:right="60" w:firstLine="646"/>
        <w:spacing w:after="0" w:line="253" w:lineRule="auto"/>
        <w:rPr>
          <w:sz w:val="20"/>
          <w:szCs w:val="20"/>
          <w:color w:val="auto"/>
        </w:rPr>
      </w:pPr>
      <w:r>
        <w:rPr>
          <w:rFonts w:ascii="Times New Roman" w:cs="Times New Roman" w:eastAsia="Times New Roman" w:hAnsi="Times New Roman"/>
          <w:sz w:val="18"/>
          <w:szCs w:val="18"/>
          <w:color w:val="auto"/>
        </w:rPr>
        <w:t>The PRIME scheme is open to medicines under development and for which the applicant intends to apply for an initial marketing authorization application through the centralized procedure. Eligible products must target conditions for which there is an unmet medical need (there is no satisfactory method of diagnosis, prevention or treatment in the European Union or, if there is, the new medicine will bring a major therapeutic advantage) and they must demonstrate the potential to address the unmet medical need by introducing new methods or therapy or improving existing ones. Applicants will typically be at the exploratory clinical trial phase of development and will have preliminary clinical evidence in patients to demonstrate the promising activity of the medicine and its potential to address to a significant extent an unmet medical need. In exceptional cases, applicants from the academic sector or small and medium sized enterprises may submit an eligibility request at an earlier stage of development if compelling nonclinical data in a relevant model provide early evidence of promising activity, and first in man studies indicate adequate exposure for the desired pharmacotherapeutic effects and tolerability.</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a medicine is selected for the PRIME scheme, EMA:</w:t>
      </w:r>
    </w:p>
    <w:p>
      <w:pPr>
        <w:spacing w:after="0" w:line="224" w:lineRule="exact"/>
        <w:rPr>
          <w:sz w:val="20"/>
          <w:szCs w:val="20"/>
          <w:color w:val="auto"/>
        </w:rPr>
      </w:pPr>
    </w:p>
    <w:p>
      <w:pPr>
        <w:ind w:left="980" w:right="740" w:hanging="326"/>
        <w:spacing w:after="0" w:line="281"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rapporteur from the CHMP or from the Committee for Advanced Therapies to provide continuous support and to build up knowledge of the medicine in advance of the filing of a marketing authorization application;</w:t>
      </w:r>
    </w:p>
    <w:p>
      <w:pPr>
        <w:spacing w:after="0" w:line="161"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issues guidance on the applicant’s overall development plan and regulatory strategy;</w:t>
      </w:r>
    </w:p>
    <w:p>
      <w:pPr>
        <w:spacing w:after="0" w:line="224"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organizes a kick-off meeting with the rapporteur and experts from relevant EMA committees and working groups;</w:t>
      </w:r>
    </w:p>
    <w:p>
      <w:pPr>
        <w:spacing w:after="0" w:line="224"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a dedicated EMA contact person; and</w:t>
      </w:r>
    </w:p>
    <w:p>
      <w:pPr>
        <w:spacing w:after="0" w:line="223" w:lineRule="exact"/>
        <w:rPr>
          <w:rFonts w:ascii="Times New Roman" w:cs="Times New Roman" w:eastAsia="Times New Roman" w:hAnsi="Times New Roman"/>
          <w:sz w:val="18"/>
          <w:szCs w:val="18"/>
          <w:color w:val="auto"/>
        </w:rPr>
      </w:pPr>
    </w:p>
    <w:p>
      <w:pPr>
        <w:ind w:left="980" w:right="80" w:hanging="326"/>
        <w:spacing w:after="0" w:line="281" w:lineRule="auto"/>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scientific advice at key development milestones, involving additional stakeholders, such as health technology assessment bodies and patients, as needed.</w:t>
      </w:r>
    </w:p>
    <w:p>
      <w:pPr>
        <w:spacing w:after="0" w:line="162" w:lineRule="exact"/>
        <w:rPr>
          <w:sz w:val="20"/>
          <w:szCs w:val="20"/>
          <w:color w:val="auto"/>
        </w:rPr>
      </w:pPr>
    </w:p>
    <w:p>
      <w:pPr>
        <w:ind w:right="380" w:firstLine="646"/>
        <w:spacing w:after="0" w:line="265" w:lineRule="auto"/>
        <w:rPr>
          <w:sz w:val="20"/>
          <w:szCs w:val="20"/>
          <w:color w:val="auto"/>
        </w:rPr>
      </w:pPr>
      <w:r>
        <w:rPr>
          <w:rFonts w:ascii="Times New Roman" w:cs="Times New Roman" w:eastAsia="Times New Roman" w:hAnsi="Times New Roman"/>
          <w:sz w:val="18"/>
          <w:szCs w:val="18"/>
          <w:color w:val="auto"/>
        </w:rPr>
        <w:t>Medicines that are selected for the PRIME scheme are also expected to benefit from EMA’s accelerated assessment procedure at the time of application for marketing authorization. Where, during the course of development, a medicine no longer meets the eligibility criteria, support under the PRIME scheme may be withdrawn.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Data Protection in the European Union</w:t>
      </w:r>
    </w:p>
    <w:p>
      <w:pPr>
        <w:spacing w:after="0" w:line="226" w:lineRule="exact"/>
        <w:rPr>
          <w:sz w:val="20"/>
          <w:szCs w:val="20"/>
          <w:color w:val="auto"/>
        </w:rPr>
      </w:pPr>
    </w:p>
    <w:p>
      <w:pPr>
        <w:ind w:right="20" w:firstLine="646"/>
        <w:spacing w:after="0" w:line="252" w:lineRule="auto"/>
        <w:rPr>
          <w:sz w:val="20"/>
          <w:szCs w:val="20"/>
          <w:color w:val="auto"/>
        </w:rPr>
      </w:pPr>
      <w:r>
        <w:rPr>
          <w:rFonts w:ascii="Times New Roman" w:cs="Times New Roman" w:eastAsia="Times New Roman" w:hAnsi="Times New Roman"/>
          <w:sz w:val="18"/>
          <w:szCs w:val="18"/>
          <w:color w:val="auto"/>
        </w:rPr>
        <w:t>In the EEA, innovative medicinal products approved on the basis of a complete independent data package qualify for eight years of data exclusivity upon grant of a marketing authorization and an additional two years of market exclusivity pursuant to Regulation (EC) No. 726/2004, as amended, and Directive 2001/83/EC, as amended. Data exclusivity prevents generic and biosimilar applicants from referencing the innovator’s preclinical and clinical trial data contained in the dossier of the reference product when applying for a marketing authorization for a period of eight years from the date on which the reference product was first authorized in the EEA. During the additional two-year period of market exclusivity, a generic or biosimilar marketing authorization application can be submitted, and the innovator’s data may be referenced, but no generic or biosimilar medicinal product can be marketed until the expiration of the market exclusivity period. The overall 10-year period will be extended to a maximum of 11 years if, during the first eight years of those ten years, the marketing authorization holder obtains an authorization for one or more new therapeutic indications which, during the scientific evaluation prior to authorization, is held to bring a significant clinical benefit in comparison with existing therapies. Even if a compound is considered to be an innovative medicinal product so that the innovator gains the prescribed period of data exclusivity, another company may market another version of the product if such company obtained marketing authorization based on a MAA with a completely independent data package of pharmaceutical tests, preclinical tests and clinical trials.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Periods of Authorization and Renewals</w:t>
      </w:r>
    </w:p>
    <w:p>
      <w:pPr>
        <w:spacing w:after="0" w:line="226" w:lineRule="exact"/>
        <w:rPr>
          <w:sz w:val="20"/>
          <w:szCs w:val="20"/>
          <w:color w:val="auto"/>
        </w:rPr>
      </w:pPr>
    </w:p>
    <w:p>
      <w:pPr>
        <w:ind w:firstLine="646"/>
        <w:spacing w:after="0" w:line="254" w:lineRule="auto"/>
        <w:rPr>
          <w:sz w:val="20"/>
          <w:szCs w:val="20"/>
          <w:color w:val="auto"/>
        </w:rPr>
      </w:pPr>
      <w:r>
        <w:rPr>
          <w:rFonts w:ascii="Times New Roman" w:cs="Times New Roman" w:eastAsia="Times New Roman" w:hAnsi="Times New Roman"/>
          <w:sz w:val="18"/>
          <w:szCs w:val="18"/>
          <w:color w:val="auto"/>
        </w:rPr>
        <w:t>A marketing authorization is valid for five years, in principle, and it may be renewed after five years on the basis of a re-evaluation of the risk benefit balance by the EMA or by the competent authority of the authorizing Member State. To that end, the marketing authorization holder must provide the EMA or the competent authority with a consolidated version of the file in respect of quality, safety and efficacy, including all variations introduced since the marketing authorization was granted, at least nine months before the marketing authorization ceases to be valid. Once renewed, the marketing authorization is valid for an unlimited period, unless the European Commission or the competent authority decides on justified grounds relating to pharmacovigilance, to proceed with one additional five-year renewal period. Any authorization that is not followed by the placement of the product on the EEA market (in the case of the centralized procedure) or on the market of the authorizing member state within three years after authorization ceases to be valid.</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color w:val="auto"/>
        </w:rPr>
        <w:t>Patent Term Extension</w:t>
      </w:r>
    </w:p>
    <w:p>
      <w:pPr>
        <w:spacing w:after="0" w:line="226" w:lineRule="exact"/>
        <w:rPr>
          <w:sz w:val="20"/>
          <w:szCs w:val="20"/>
          <w:color w:val="auto"/>
        </w:rPr>
      </w:pPr>
    </w:p>
    <w:p>
      <w:pPr>
        <w:ind w:right="40" w:firstLine="646"/>
        <w:spacing w:after="0" w:line="254" w:lineRule="auto"/>
        <w:rPr>
          <w:sz w:val="20"/>
          <w:szCs w:val="20"/>
          <w:color w:val="auto"/>
        </w:rPr>
      </w:pPr>
      <w:r>
        <w:rPr>
          <w:rFonts w:ascii="Times New Roman" w:cs="Times New Roman" w:eastAsia="Times New Roman" w:hAnsi="Times New Roman"/>
          <w:sz w:val="18"/>
          <w:szCs w:val="18"/>
          <w:color w:val="auto"/>
        </w:rPr>
        <w:t>In order to compensate the patentee for delays in obtaining a marketing authorization for a patented product, a supplementary certificate (“SPC”), may be granted extending the exclusivity period for that specific product by up to five years. Applications for SPCs must be made to the relevant patent office in each EU Member State and the granted certificates are valid only in the granting Member State. An application must be made by the patent owner within six months of the first marketing authorization being granted in the European Union (assuming the patent in question has not expired, lapsed or been revoked) or within six months of the grant of the patent (if the marketing authorization is granted first). In the context of SPCs, the term “product” means the active ingredient or combination of active ingredients for a medicinal product, and the term “patent” means a patent protecting such a product or a new manufacturing process or application for it. The duration of an SPC is calculated as the difference between the patent’s filing date and the date of the first marketing authorization, minus five years, subject to a maximum term of five years.</w:t>
      </w:r>
    </w:p>
    <w:p>
      <w:pPr>
        <w:spacing w:after="0" w:line="187" w:lineRule="exact"/>
        <w:rPr>
          <w:sz w:val="20"/>
          <w:szCs w:val="20"/>
          <w:color w:val="auto"/>
        </w:rPr>
      </w:pPr>
    </w:p>
    <w:p>
      <w:pPr>
        <w:ind w:right="720" w:firstLine="646"/>
        <w:spacing w:after="0" w:line="281" w:lineRule="auto"/>
        <w:rPr>
          <w:sz w:val="20"/>
          <w:szCs w:val="20"/>
          <w:color w:val="auto"/>
        </w:rPr>
      </w:pPr>
      <w:r>
        <w:rPr>
          <w:rFonts w:ascii="Times New Roman" w:cs="Times New Roman" w:eastAsia="Times New Roman" w:hAnsi="Times New Roman"/>
          <w:sz w:val="18"/>
          <w:szCs w:val="18"/>
          <w:color w:val="auto"/>
        </w:rPr>
        <w:t>A six-month pediatric extension of an SPC may be obtained where the patentee has carried out an agreed pediatric investigation plan, the authorized product information includes information on the results of the studies and the product is authorized in all EU Member States.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Controlled Drugs Classification</w:t>
      </w:r>
    </w:p>
    <w:p>
      <w:pPr>
        <w:spacing w:after="0" w:line="226" w:lineRule="exact"/>
        <w:rPr>
          <w:sz w:val="20"/>
          <w:szCs w:val="20"/>
          <w:color w:val="auto"/>
        </w:rPr>
      </w:pPr>
    </w:p>
    <w:p>
      <w:pPr>
        <w:ind w:right="220" w:firstLine="646"/>
        <w:spacing w:after="0" w:line="260" w:lineRule="auto"/>
        <w:rPr>
          <w:sz w:val="20"/>
          <w:szCs w:val="20"/>
          <w:color w:val="auto"/>
        </w:rPr>
      </w:pPr>
      <w:r>
        <w:rPr>
          <w:rFonts w:ascii="Times New Roman" w:cs="Times New Roman" w:eastAsia="Times New Roman" w:hAnsi="Times New Roman"/>
          <w:sz w:val="18"/>
          <w:szCs w:val="18"/>
          <w:color w:val="auto"/>
        </w:rPr>
        <w:t>The position in the member states of the European Union is not harmonized. Member states have implemented the relevant United Nations Conventions (the Single Convention on Narcotic Drugs 1961 and the Convention on Psychotropic Substances 1971) into their national legislation, which has led to differences in how controlled substances are regulated in different countries of the European Union. It is therefore important to determine at a national level whether a substance is controlled and to comply with the applicable legal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Requirements After Marketing Authorization</w:t>
      </w:r>
    </w:p>
    <w:p>
      <w:pPr>
        <w:spacing w:after="0" w:line="226" w:lineRule="exact"/>
        <w:rPr>
          <w:sz w:val="20"/>
          <w:szCs w:val="20"/>
          <w:color w:val="auto"/>
        </w:rPr>
      </w:pPr>
    </w:p>
    <w:p>
      <w:pPr>
        <w:ind w:right="60" w:firstLine="646"/>
        <w:spacing w:after="0" w:line="281" w:lineRule="auto"/>
        <w:rPr>
          <w:sz w:val="20"/>
          <w:szCs w:val="20"/>
          <w:color w:val="auto"/>
        </w:rPr>
      </w:pPr>
      <w:r>
        <w:rPr>
          <w:rFonts w:ascii="Times New Roman" w:cs="Times New Roman" w:eastAsia="Times New Roman" w:hAnsi="Times New Roman"/>
          <w:sz w:val="18"/>
          <w:szCs w:val="18"/>
          <w:color w:val="auto"/>
        </w:rPr>
        <w:t>Following approval, the holder of the marketing authorization is required to comply with a range of requirements applicable to the manufacturing, marketing, promotion and sale of the medicinal product.</w:t>
      </w:r>
    </w:p>
    <w:p>
      <w:pPr>
        <w:spacing w:after="0" w:line="162" w:lineRule="exact"/>
        <w:rPr>
          <w:sz w:val="20"/>
          <w:szCs w:val="20"/>
          <w:color w:val="auto"/>
        </w:rPr>
      </w:pPr>
    </w:p>
    <w:p>
      <w:pPr>
        <w:ind w:right="140" w:firstLine="646"/>
        <w:spacing w:after="0" w:line="260" w:lineRule="auto"/>
        <w:rPr>
          <w:sz w:val="20"/>
          <w:szCs w:val="20"/>
          <w:color w:val="auto"/>
        </w:rPr>
      </w:pPr>
      <w:r>
        <w:rPr>
          <w:rFonts w:ascii="Times New Roman" w:cs="Times New Roman" w:eastAsia="Times New Roman" w:hAnsi="Times New Roman"/>
          <w:sz w:val="18"/>
          <w:szCs w:val="18"/>
          <w:color w:val="auto"/>
        </w:rPr>
        <w:t>These include compliance with the European Union’s stringent pharmacovigilance or safety reporting rules, pursuant to which post-authorization studies and additional monitoring obligations can be imposed. The holder of a marketing authorization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(“PSURs”).</w:t>
      </w:r>
    </w:p>
    <w:p>
      <w:pPr>
        <w:spacing w:after="0" w:line="181" w:lineRule="exact"/>
        <w:rPr>
          <w:sz w:val="20"/>
          <w:szCs w:val="20"/>
          <w:color w:val="auto"/>
        </w:rPr>
      </w:pPr>
    </w:p>
    <w:p>
      <w:pPr>
        <w:ind w:right="100" w:firstLine="646"/>
        <w:spacing w:after="0" w:line="257" w:lineRule="auto"/>
        <w:rPr>
          <w:sz w:val="20"/>
          <w:szCs w:val="20"/>
          <w:color w:val="auto"/>
        </w:rPr>
      </w:pPr>
      <w:r>
        <w:rPr>
          <w:rFonts w:ascii="Times New Roman" w:cs="Times New Roman" w:eastAsia="Times New Roman" w:hAnsi="Times New Roman"/>
          <w:sz w:val="18"/>
          <w:szCs w:val="18"/>
          <w:color w:val="auto"/>
        </w:rPr>
        <w:t>In addition, all new MAAs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marketing authorization. Such risk-minimization measures or post-authorization obligations may include additional safety monitoring, more frequent submission of PSURs, or the conduct of additional clinical trials or post-authorization safety studies. RMPs and PSURs are routinely available to third parties requesting access, subject to limited redactions.</w:t>
      </w:r>
    </w:p>
    <w:p>
      <w:pPr>
        <w:spacing w:after="0" w:line="185" w:lineRule="exact"/>
        <w:rPr>
          <w:sz w:val="20"/>
          <w:szCs w:val="20"/>
          <w:color w:val="auto"/>
        </w:rPr>
      </w:pPr>
    </w:p>
    <w:p>
      <w:pPr>
        <w:ind w:right="80" w:firstLine="646"/>
        <w:spacing w:after="0" w:line="265" w:lineRule="auto"/>
        <w:rPr>
          <w:sz w:val="20"/>
          <w:szCs w:val="20"/>
          <w:color w:val="auto"/>
        </w:rPr>
      </w:pPr>
      <w:r>
        <w:rPr>
          <w:rFonts w:ascii="Times New Roman" w:cs="Times New Roman" w:eastAsia="Times New Roman" w:hAnsi="Times New Roman"/>
          <w:sz w:val="18"/>
          <w:szCs w:val="18"/>
          <w:color w:val="auto"/>
        </w:rPr>
        <w:t>Furthermore, the manufacturing of authorized products, for which a separate manufacturer’s license is mandatory, must also be conducted in strict compliance with applicable cGMP requirements, which mandate the methods, facilities and controls used in manufacturing, processing and packing of products to assure their safety and identity.</w:t>
      </w:r>
    </w:p>
    <w:p>
      <w:pPr>
        <w:spacing w:after="0" w:line="176" w:lineRule="exact"/>
        <w:rPr>
          <w:sz w:val="20"/>
          <w:szCs w:val="20"/>
          <w:color w:val="auto"/>
        </w:rPr>
      </w:pPr>
    </w:p>
    <w:p>
      <w:pPr>
        <w:jc w:val="both"/>
        <w:ind w:right="100" w:firstLine="646"/>
        <w:spacing w:after="0" w:line="272" w:lineRule="auto"/>
        <w:rPr>
          <w:sz w:val="20"/>
          <w:szCs w:val="20"/>
          <w:color w:val="auto"/>
        </w:rPr>
      </w:pPr>
      <w:r>
        <w:rPr>
          <w:rFonts w:ascii="Times New Roman" w:cs="Times New Roman" w:eastAsia="Times New Roman" w:hAnsi="Times New Roman"/>
          <w:sz w:val="17"/>
          <w:szCs w:val="17"/>
          <w:color w:val="auto"/>
        </w:rPr>
        <w:t>Finally, the marketing and promotion of authorized products, including industry-sponsored continuing medical education and advertising directed toward the prescribers of products, are strictly regulated in the European Union under Directive 2001/83/EC, as amended. The advertising of prescription-only medicines to the general public is not permitted in the European Union, or in the United Kingdom under the Human Medicines Regulations 2021.</w:t>
      </w:r>
    </w:p>
    <w:p>
      <w:pPr>
        <w:spacing w:after="0" w:line="254" w:lineRule="auto"/>
        <w:rPr>
          <w:sz w:val="20"/>
          <w:szCs w:val="20"/>
          <w:color w:val="auto"/>
        </w:rPr>
      </w:pPr>
      <w:r>
        <w:rPr>
          <w:rFonts w:ascii="Times New Roman" w:cs="Times New Roman" w:eastAsia="Times New Roman" w:hAnsi="Times New Roman"/>
          <w:sz w:val="18"/>
          <w:szCs w:val="18"/>
          <w:color w:val="auto"/>
        </w:rPr>
        <w:t>Although general requirements for advertising and promotion of medicinal products are established under EU Directive 2001/83/EC as amended, the details are governed by regulations in each European Union member state (as well as Iceland, Norway and Liechtenstein) and can differ from one country to another.</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228" w:lineRule="exact"/>
        <w:rPr>
          <w:sz w:val="20"/>
          <w:szCs w:val="20"/>
          <w:color w:val="auto"/>
        </w:rPr>
      </w:pPr>
    </w:p>
    <w:p>
      <w:pPr>
        <w:ind w:right="120" w:firstLine="646"/>
        <w:spacing w:after="0" w:line="265" w:lineRule="auto"/>
        <w:rPr>
          <w:sz w:val="20"/>
          <w:szCs w:val="20"/>
          <w:color w:val="auto"/>
        </w:rPr>
      </w:pPr>
      <w:r>
        <w:rPr>
          <w:rFonts w:ascii="Times New Roman" w:cs="Times New Roman" w:eastAsia="Times New Roman" w:hAnsi="Times New Roman"/>
          <w:sz w:val="18"/>
          <w:szCs w:val="18"/>
          <w:color w:val="auto"/>
        </w:rPr>
        <w:t>As of January 1, 2021, European Union law no longer directly applies in the United Kingdom. The United Kingdom has adopted existing European Union medicines regulation as standalone United Kingdom legislation with some amendments to reflect procedural and other requirements with respect to marketing authorizations and other regulatory provisions.</w:t>
      </w:r>
    </w:p>
    <w:p>
      <w:pPr>
        <w:spacing w:after="0" w:line="176" w:lineRule="exact"/>
        <w:rPr>
          <w:sz w:val="20"/>
          <w:szCs w:val="20"/>
          <w:color w:val="auto"/>
        </w:rPr>
      </w:pPr>
    </w:p>
    <w:p>
      <w:pPr>
        <w:ind w:firstLine="646"/>
        <w:spacing w:after="0" w:line="254" w:lineRule="auto"/>
        <w:rPr>
          <w:sz w:val="20"/>
          <w:szCs w:val="20"/>
          <w:color w:val="auto"/>
        </w:rPr>
      </w:pPr>
      <w:r>
        <w:rPr>
          <w:rFonts w:ascii="Times New Roman" w:cs="Times New Roman" w:eastAsia="Times New Roman" w:hAnsi="Times New Roman"/>
          <w:sz w:val="18"/>
          <w:szCs w:val="18"/>
          <w:color w:val="auto"/>
        </w:rPr>
        <w:t>The MHRA, is responsible for regulating the United Kingdom medicinal products market (Great Britain and Northern Ireland). An MHRA authorization must be obtained for each medicine to be marketed in the regions that comprise the United Kingdom. On January 1, 2021, all European Union marketing authorizations were converted to United Kingdom marketing authorizations subject to a manufacturer opt-out. The United Kingdom has introduced separate, specific processes for regulatory submissions and medicinal product marketing authorization, and MHRA guidance states that the United Kingdom will have the power to take into account marketing authorizations made under the European Union decentralized and mutual recognition procedures. On January 1, 2024, the MHRA launched the International Recognition Procedure (“IRP”), which provides for an expedited authorization procedure for products that have received positive marketing authorization decisions from trusted partner agencies, such as the EMA or the FDA. There are two available routes for assessment and recognition under the IRP:</w:t>
      </w:r>
    </w:p>
    <w:p>
      <w:pPr>
        <w:spacing w:after="0" w:line="187" w:lineRule="exact"/>
        <w:rPr>
          <w:sz w:val="20"/>
          <w:szCs w:val="20"/>
          <w:color w:val="auto"/>
        </w:rPr>
      </w:pPr>
    </w:p>
    <w:p>
      <w:pPr>
        <w:ind w:left="980" w:hanging="326"/>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Route A – 60 days from validation of submission</w:t>
      </w:r>
    </w:p>
    <w:p>
      <w:pPr>
        <w:spacing w:after="0" w:line="223"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Application must be based on a Reference Regulatory (“RR”), marketing authorization within the previous two years</w:t>
      </w:r>
    </w:p>
    <w:p>
      <w:pPr>
        <w:spacing w:after="0" w:line="224" w:lineRule="exact"/>
        <w:rPr>
          <w:rFonts w:ascii="Times New Roman" w:cs="Times New Roman" w:eastAsia="Times New Roman" w:hAnsi="Times New Roman"/>
          <w:sz w:val="18"/>
          <w:szCs w:val="18"/>
          <w:color w:val="auto"/>
        </w:rPr>
      </w:pPr>
    </w:p>
    <w:p>
      <w:pPr>
        <w:ind w:left="1300" w:right="120" w:hanging="323"/>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Any significant differences from the quality dossier approved by the RR marketing authorization requires assessment under Recognition Route</w:t>
      </w:r>
    </w:p>
    <w:p>
      <w:pPr>
        <w:spacing w:after="0" w:line="161" w:lineRule="exact"/>
        <w:rPr>
          <w:rFonts w:ascii="Times New Roman" w:cs="Times New Roman" w:eastAsia="Times New Roman" w:hAnsi="Times New Roman"/>
          <w:sz w:val="18"/>
          <w:szCs w:val="18"/>
          <w:color w:val="auto"/>
        </w:rPr>
      </w:pPr>
    </w:p>
    <w:p>
      <w:pPr>
        <w:ind w:left="980" w:right="3320"/>
        <w:spacing w:after="0" w:line="49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Evidence of cGMP compliance for manufacturing sites should be provided with submission o None of the Recognition Route B criteria are met</w:t>
      </w:r>
    </w:p>
    <w:p>
      <w:pPr>
        <w:spacing w:after="0" w:line="1" w:lineRule="exact"/>
        <w:rPr>
          <w:rFonts w:ascii="Times New Roman" w:cs="Times New Roman" w:eastAsia="Times New Roman" w:hAnsi="Times New Roman"/>
          <w:sz w:val="18"/>
          <w:szCs w:val="18"/>
          <w:color w:val="auto"/>
        </w:rPr>
      </w:pPr>
    </w:p>
    <w:p>
      <w:pPr>
        <w:ind w:left="980" w:right="300" w:hanging="326"/>
        <w:spacing w:after="0" w:line="281"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Route B – 110 days from validation of submission with one planned clock stop (up to 60 days) at day 70 to allow applicant to respond to issues identified during review</w:t>
      </w:r>
    </w:p>
    <w:p>
      <w:pPr>
        <w:spacing w:after="0" w:line="161" w:lineRule="exact"/>
        <w:rPr>
          <w:rFonts w:ascii="Times New Roman" w:cs="Times New Roman" w:eastAsia="Times New Roman" w:hAnsi="Times New Roman"/>
          <w:sz w:val="18"/>
          <w:szCs w:val="18"/>
          <w:color w:val="auto"/>
        </w:rPr>
      </w:pPr>
    </w:p>
    <w:p>
      <w:pPr>
        <w:ind w:left="980" w:right="3540"/>
        <w:spacing w:after="0" w:line="49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Application must be based on a RR marketing authorization within the previous 10 years o Criteria requiring Recognition Route B include, among other things:</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RR marketing authorization granted a conditional or exceptional circumstances marketing authorization</w:t>
      </w:r>
    </w:p>
    <w:p>
      <w:pPr>
        <w:spacing w:after="0" w:line="304" w:lineRule="exact"/>
        <w:rPr>
          <w:rFonts w:ascii="Times New Roman" w:cs="Times New Roman" w:eastAsia="Times New Roman" w:hAnsi="Times New Roman"/>
          <w:sz w:val="18"/>
          <w:szCs w:val="18"/>
          <w:color w:val="auto"/>
        </w:rPr>
      </w:pPr>
    </w:p>
    <w:p>
      <w:pPr>
        <w:ind w:left="1620" w:right="14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manufacturing sites included in the application were not assessed by the RR marketing authorization or a manufacturing site is not cGMP certified</w:t>
      </w:r>
    </w:p>
    <w:p>
      <w:pPr>
        <w:spacing w:after="0" w:line="161" w:lineRule="exact"/>
        <w:rPr>
          <w:rFonts w:ascii="Times New Roman" w:cs="Times New Roman" w:eastAsia="Times New Roman" w:hAnsi="Times New Roman"/>
          <w:sz w:val="18"/>
          <w:szCs w:val="18"/>
          <w:color w:val="auto"/>
        </w:rPr>
      </w:pPr>
    </w:p>
    <w:p>
      <w:pPr>
        <w:ind w:left="1620" w:right="320"/>
        <w:spacing w:after="0" w:line="59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substantial changes to the manufacturing process compared to the process approved by the RR marketing authorization Certain product types (e.g., advanced therapy medicinal products, orphan medicines, over-the-counter medicines)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RMP was not assessed under the RR marketing authorization</w:t>
      </w:r>
    </w:p>
    <w:p>
      <w:pPr>
        <w:spacing w:after="0" w:line="304" w:lineRule="exact"/>
        <w:rPr>
          <w:rFonts w:ascii="Times New Roman" w:cs="Times New Roman" w:eastAsia="Times New Roman" w:hAnsi="Times New Roman"/>
          <w:sz w:val="18"/>
          <w:szCs w:val="18"/>
          <w:color w:val="auto"/>
        </w:rPr>
      </w:pPr>
    </w:p>
    <w:p>
      <w:pPr>
        <w:ind w:left="1620" w:right="2240"/>
        <w:spacing w:after="0" w:line="59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RR marketing authorization required one or more post-authorization safety studies for the product A companion diagnostic is necessary for correct use of the product</w:t>
      </w:r>
    </w:p>
    <w:p>
      <w:pPr>
        <w:spacing w:after="0" w:line="1" w:lineRule="exact"/>
        <w:rPr>
          <w:sz w:val="20"/>
          <w:szCs w:val="20"/>
          <w:color w:val="auto"/>
        </w:rPr>
      </w:pPr>
    </w:p>
    <w:p>
      <w:pPr>
        <w:ind w:right="40" w:firstLine="646"/>
        <w:spacing w:after="0" w:line="281" w:lineRule="auto"/>
        <w:rPr>
          <w:sz w:val="20"/>
          <w:szCs w:val="20"/>
          <w:color w:val="auto"/>
        </w:rPr>
      </w:pPr>
      <w:r>
        <w:rPr>
          <w:rFonts w:ascii="Times New Roman" w:cs="Times New Roman" w:eastAsia="Times New Roman" w:hAnsi="Times New Roman"/>
          <w:sz w:val="18"/>
          <w:szCs w:val="18"/>
          <w:color w:val="auto"/>
        </w:rPr>
        <w:t>United Kingdom medicines legislation is subject to future regulatory change under the Medicines and Medical Devices Act 2021. This act sets out a framework for the adoption of medicines regulation.</w:t>
      </w:r>
    </w:p>
    <w:p>
      <w:pPr>
        <w:spacing w:after="0" w:line="162" w:lineRule="exact"/>
        <w:rPr>
          <w:sz w:val="20"/>
          <w:szCs w:val="20"/>
          <w:color w:val="auto"/>
        </w:rPr>
      </w:pPr>
    </w:p>
    <w:p>
      <w:pPr>
        <w:ind w:right="20" w:firstLine="646"/>
        <w:spacing w:after="0" w:line="256" w:lineRule="auto"/>
        <w:rPr>
          <w:sz w:val="20"/>
          <w:szCs w:val="20"/>
          <w:color w:val="auto"/>
        </w:rPr>
      </w:pPr>
      <w:r>
        <w:rPr>
          <w:rFonts w:ascii="Times New Roman" w:cs="Times New Roman" w:eastAsia="Times New Roman" w:hAnsi="Times New Roman"/>
          <w:sz w:val="18"/>
          <w:szCs w:val="18"/>
          <w:color w:val="auto"/>
        </w:rPr>
        <w:t>Different rules apply in Northern Ireland following implementation of the Northern Ireland Protocol, under which European Union central marketing applications continue to apply there. However, in March 2023, the United Kingdom government and the European Commission reached agreement on a regulatory framework to replace the Northern Ireland Protocol, referred to as the Windsor Framework. The Windsor Framework is expected to apply as of January 1, 2025 and will change the existing system under the Northern Ireland Protocol, including the regulation of pharmaceutical products in the United Kingdom. Specifically, the MHRA will be responsible for approving all medicines intended to be marketed in the United Kingdom (including Northern Ireland), while the EMA will no longer be involved in approving medicines intended for sale in Northern Ireland.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34" w:name="page35"/>
    <w:bookmarkEnd w:id="34"/>
    <w:p>
      <w:pPr>
        <w:ind w:firstLine="646"/>
        <w:spacing w:after="0" w:line="253" w:lineRule="auto"/>
        <w:rPr>
          <w:sz w:val="20"/>
          <w:szCs w:val="20"/>
          <w:color w:val="auto"/>
        </w:rPr>
      </w:pPr>
      <w:r>
        <w:rPr>
          <w:rFonts w:ascii="Times New Roman" w:cs="Times New Roman" w:eastAsia="Times New Roman" w:hAnsi="Times New Roman"/>
          <w:sz w:val="18"/>
          <w:szCs w:val="18"/>
          <w:color w:val="auto"/>
        </w:rPr>
        <w:t>The Trade and Cooperation Agreement, which sets forth a framework for partnership between the European Union and the United Kingdom, became effective as of January 1, 2021. The Trade and Cooperation Agreement between the European Union and the United Kingdom contains an Annex in relation to medicinal products with the objective of facilitating availability of medicines, promotion of public health and consumer protection in respect of medicinal products. The Annex provides for mutual recognition of cGMP inspections and certificates, meaning that manufacturing facilities do not need to undergo duplicate inspections for the two markets. The Annex establishes a Working Group on Medicinal Products to deal with matters under the Trade and Cooperation Agreement, facilitate co-operation and for the carrying out of technical discussions. It is expected that further bilateral discussions will continue with respect to regulatory areas not the subject of the Trade and Cooperation Agreement, including pharmacovigilance. The Trade and Cooperation Agreement also does not include reciprocal arrangements for the recognition of batch testing certification. However, the United Kingdom has listed approved countries, including the EEA which will enable United Kingdom importers and wholesales to recognize certain certification and regulatory standards. The European Commission has not adopted such recognition procedures.</w:t>
      </w:r>
    </w:p>
    <w:p>
      <w:pPr>
        <w:spacing w:after="0" w:line="188" w:lineRule="exact"/>
        <w:rPr>
          <w:sz w:val="20"/>
          <w:szCs w:val="20"/>
          <w:color w:val="auto"/>
        </w:rPr>
      </w:pPr>
    </w:p>
    <w:p>
      <w:pPr>
        <w:ind w:right="400" w:firstLine="646"/>
        <w:spacing w:after="0" w:line="265" w:lineRule="auto"/>
        <w:rPr>
          <w:sz w:val="20"/>
          <w:szCs w:val="20"/>
          <w:color w:val="auto"/>
        </w:rPr>
      </w:pPr>
      <w:r>
        <w:rPr>
          <w:rFonts w:ascii="Times New Roman" w:cs="Times New Roman" w:eastAsia="Times New Roman" w:hAnsi="Times New Roman"/>
          <w:sz w:val="18"/>
          <w:szCs w:val="18"/>
          <w:color w:val="auto"/>
        </w:rPr>
        <w:t>It is expected that the establishment of a separate United Kingdom authorization system, albeit with transitional recognition procedures in the United Kingdom, will lead to additional regulatory costs. In addition, additional regulatory costs may be incurred with respect to the lack of mutual recognition of batch testing and related regulatory measures.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Privacy and Security in the European Union and the United Kingdom</w:t>
      </w:r>
    </w:p>
    <w:p>
      <w:pPr>
        <w:spacing w:after="0" w:line="228" w:lineRule="exact"/>
        <w:rPr>
          <w:sz w:val="20"/>
          <w:szCs w:val="20"/>
          <w:color w:val="auto"/>
        </w:rPr>
      </w:pPr>
    </w:p>
    <w:p>
      <w:pPr>
        <w:ind w:right="40" w:firstLine="646"/>
        <w:spacing w:after="0" w:line="252" w:lineRule="auto"/>
        <w:rPr>
          <w:sz w:val="20"/>
          <w:szCs w:val="20"/>
          <w:color w:val="auto"/>
        </w:rPr>
      </w:pPr>
      <w:r>
        <w:rPr>
          <w:rFonts w:ascii="Times New Roman" w:cs="Times New Roman" w:eastAsia="Times New Roman" w:hAnsi="Times New Roman"/>
          <w:sz w:val="18"/>
          <w:szCs w:val="18"/>
          <w:color w:val="auto"/>
        </w:rPr>
        <w:t>The collection, use, disclosure, transfer, or other processing of personal data regarding individuals in the European Union, including personal health data, is subject to the European Union’s General Data Protection Regulation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European Union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will be a rigorous and time-intensive process that may increase the cost of doing business or require companies to change their business practices to ensure full compliance.</w:t>
      </w:r>
    </w:p>
    <w:p>
      <w:pPr>
        <w:spacing w:after="0" w:line="195" w:lineRule="exact"/>
        <w:rPr>
          <w:sz w:val="20"/>
          <w:szCs w:val="20"/>
          <w:color w:val="auto"/>
        </w:rPr>
      </w:pPr>
    </w:p>
    <w:p>
      <w:pPr>
        <w:ind w:right="80" w:firstLine="646"/>
        <w:spacing w:after="0" w:line="252" w:lineRule="auto"/>
        <w:rPr>
          <w:sz w:val="20"/>
          <w:szCs w:val="20"/>
          <w:color w:val="auto"/>
        </w:rPr>
      </w:pPr>
      <w:r>
        <w:rPr>
          <w:rFonts w:ascii="Times New Roman" w:cs="Times New Roman" w:eastAsia="Times New Roman" w:hAnsi="Times New Roman"/>
          <w:sz w:val="18"/>
          <w:szCs w:val="18"/>
          <w:color w:val="auto"/>
        </w:rPr>
        <w:t xml:space="preserve">In July 2023, the European Commission adopted an adequacy decision for a new mechanism for transferring data from the European Union to the United States – the EU-US Data Privacy Framework, which provides individuals in the European Union with several new rights, including the right to obtain access to their data, or obtain correction or deletion of incorrect or unlawfully handled data. The adequacy decision followed the signing of an executive order introducing new binding safeguards to address the points raised by the Court of Justice of the European Union in its decision on a case known as </w:t>
      </w:r>
      <w:r>
        <w:rPr>
          <w:rFonts w:ascii="Times New Roman" w:cs="Times New Roman" w:eastAsia="Times New Roman" w:hAnsi="Times New Roman"/>
          <w:sz w:val="18"/>
          <w:szCs w:val="18"/>
          <w:i w:val="1"/>
          <w:iCs w:val="1"/>
          <w:color w:val="auto"/>
        </w:rPr>
        <w:t>Schrems II</w:t>
      </w:r>
      <w:r>
        <w:rPr>
          <w:rFonts w:ascii="Times New Roman" w:cs="Times New Roman" w:eastAsia="Times New Roman" w:hAnsi="Times New Roman"/>
          <w:sz w:val="18"/>
          <w:szCs w:val="18"/>
          <w:color w:val="auto"/>
        </w:rPr>
        <w:t>, which invalidated the previous EU-US Privacy Shield. Notably, the new obligations were geared to ensure that data can be accessed by U.S. intelligence agencies only to the extent necessary and proportionate and to establish an independent and impartial redress mechanism to handle complaints from Europeans concerning the collection of their data for national security purposes. The European Commission will continually review developments in the United States along with its adequacy decision. Adequacy decisions can be adapted or even withdrawn in the event of developments affecting the level of protection in the applicable jurisdiction. Future actions of European Union data protection authorities are difficult to predict. Some customers or other service providers may respond to these evolving laws and regulations by asking us to make certain privacy or data-related contractual commitments that we are unable or unwilling to make. This could lead to the loss of current or prospective customers or other business relationships.</w:t>
      </w:r>
    </w:p>
    <w:p>
      <w:pPr>
        <w:spacing w:after="0" w:line="195" w:lineRule="exact"/>
        <w:rPr>
          <w:sz w:val="20"/>
          <w:szCs w:val="20"/>
          <w:color w:val="auto"/>
        </w:rPr>
      </w:pPr>
    </w:p>
    <w:p>
      <w:pPr>
        <w:ind w:right="20" w:firstLine="646"/>
        <w:spacing w:after="0" w:line="252" w:lineRule="auto"/>
        <w:rPr>
          <w:sz w:val="20"/>
          <w:szCs w:val="20"/>
          <w:color w:val="auto"/>
        </w:rPr>
      </w:pPr>
      <w:r>
        <w:rPr>
          <w:rFonts w:ascii="Times New Roman" w:cs="Times New Roman" w:eastAsia="Times New Roman" w:hAnsi="Times New Roman"/>
          <w:sz w:val="18"/>
          <w:szCs w:val="18"/>
          <w:color w:val="auto"/>
        </w:rPr>
        <w:t>Following the United Kingdom’s withdrawal from the European Union, the GDPR has been implemented in the United Kingdom (as the “UK GDPR”). The UK GDPR sits alongside the amended United Kingdom Data Protection Act 2018 which implements certain derogations in the EU GDPR into United Kingdom law. Under the UK GDPR, companies not established in the United Kingdom but who process personal data in relation to the offering of goods or services to individuals in the United Kingdom, or to monitor their behavior will be subject to the UK GDPR – the requirements of which are (at this time) largely aligned with those under the EU GDPR and as such, may lead to similar compliance and operational costs with potential fines of up to £17.5 million or 4% of annual global revenues. On June 28, 2021, the European Commission issued a decision that the United Kingdom ensures an adequate level of protection for personal data transferred under the EU GDPR from the European Union to the United Kingdom. In June of 2021, the European Commission issued a decision, which will sunset on June 27, 2025 without further action, that the United Kingdom ensures an adequate level of protection for personal data transferred under the EU GDPR from the EU to the United Kingdom. The Parliament of the United Kingdom is currently considering the Data Protection and Digital Information Bill to harmonize the 2018 Data Protection Act, UK GDPR, and the Privacy and Electronic Communications Regulations under one legislative framework.</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Australia</w:t>
      </w:r>
    </w:p>
    <w:p>
      <w:pPr>
        <w:spacing w:after="0" w:line="228" w:lineRule="exact"/>
        <w:rPr>
          <w:sz w:val="20"/>
          <w:szCs w:val="20"/>
          <w:color w:val="auto"/>
        </w:rPr>
      </w:pPr>
    </w:p>
    <w:p>
      <w:pPr>
        <w:ind w:right="600" w:firstLine="646"/>
        <w:spacing w:after="0" w:line="265" w:lineRule="auto"/>
        <w:rPr>
          <w:sz w:val="20"/>
          <w:szCs w:val="20"/>
          <w:color w:val="auto"/>
        </w:rPr>
      </w:pPr>
      <w:r>
        <w:rPr>
          <w:rFonts w:ascii="Times New Roman" w:cs="Times New Roman" w:eastAsia="Times New Roman" w:hAnsi="Times New Roman"/>
          <w:sz w:val="18"/>
          <w:szCs w:val="18"/>
          <w:color w:val="auto"/>
        </w:rPr>
        <w:t>In Australia, the relevant regulatory body responsible for the pharmaceutical industry is the TGA. As with the EMA and FDA there is a harmonization and collaboration between regulatory authorities. The TGA requires notification of all clinical trials via an electronic submission of a Clinical Trial Notification prior to commencing the clinical trial.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Payer Coverage and Reimbursement</w:t>
      </w:r>
    </w:p>
    <w:p>
      <w:pPr>
        <w:spacing w:after="0" w:line="228" w:lineRule="exact"/>
        <w:rPr>
          <w:sz w:val="20"/>
          <w:szCs w:val="20"/>
          <w:color w:val="auto"/>
        </w:rPr>
      </w:pPr>
    </w:p>
    <w:p>
      <w:pPr>
        <w:ind w:right="80" w:firstLine="646"/>
        <w:spacing w:after="0" w:line="311" w:lineRule="auto"/>
        <w:rPr>
          <w:sz w:val="20"/>
          <w:szCs w:val="20"/>
          <w:color w:val="auto"/>
        </w:rPr>
      </w:pPr>
      <w:r>
        <w:rPr>
          <w:rFonts w:ascii="Times New Roman" w:cs="Times New Roman" w:eastAsia="Times New Roman" w:hAnsi="Times New Roman"/>
          <w:sz w:val="17"/>
          <w:szCs w:val="17"/>
          <w:color w:val="auto"/>
        </w:rPr>
        <w:t>Although our drug candidates have not been commercialized for any indication, if they are approved for marketing, the commercial success of our drug candidates will depend, in part, upon the availability of coverage and reimbursement from third-party payers at the federal, state and private levels.</w:t>
      </w:r>
    </w:p>
    <w:p>
      <w:pPr>
        <w:spacing w:after="0" w:line="140" w:lineRule="exact"/>
        <w:rPr>
          <w:sz w:val="20"/>
          <w:szCs w:val="20"/>
          <w:color w:val="auto"/>
        </w:rPr>
      </w:pPr>
    </w:p>
    <w:p>
      <w:pPr>
        <w:ind w:right="80" w:firstLine="646"/>
        <w:spacing w:after="0" w:line="265" w:lineRule="auto"/>
        <w:rPr>
          <w:sz w:val="20"/>
          <w:szCs w:val="20"/>
          <w:color w:val="auto"/>
        </w:rPr>
      </w:pPr>
      <w:r>
        <w:rPr>
          <w:rFonts w:ascii="Times New Roman" w:cs="Times New Roman" w:eastAsia="Times New Roman" w:hAnsi="Times New Roman"/>
          <w:sz w:val="18"/>
          <w:szCs w:val="18"/>
          <w:color w:val="auto"/>
        </w:rPr>
        <w:t>In the United States and internationally, sales of any product that we market in the future, and our ability to generate revenues from such sales, are dependent, in significant part, on the availability of adequate coverage and reimbursement from third-party payors, such as government healthcare programs, such as Medicare and Medicaid, managed care providers, private insurance plans and other organizations.</w:t>
      </w:r>
    </w:p>
    <w:p>
      <w:pPr>
        <w:spacing w:after="0" w:line="176" w:lineRule="exact"/>
        <w:rPr>
          <w:sz w:val="20"/>
          <w:szCs w:val="20"/>
          <w:color w:val="auto"/>
        </w:rPr>
      </w:pPr>
    </w:p>
    <w:p>
      <w:pPr>
        <w:ind w:right="20" w:firstLine="646"/>
        <w:spacing w:after="0" w:line="271" w:lineRule="auto"/>
        <w:rPr>
          <w:sz w:val="20"/>
          <w:szCs w:val="20"/>
          <w:color w:val="auto"/>
        </w:rPr>
      </w:pPr>
      <w:r>
        <w:rPr>
          <w:rFonts w:ascii="Times New Roman" w:cs="Times New Roman" w:eastAsia="Times New Roman" w:hAnsi="Times New Roman"/>
          <w:sz w:val="17"/>
          <w:szCs w:val="17"/>
          <w:color w:val="auto"/>
        </w:rPr>
        <w:t>Third-party payors are increasingly challenging the price of medical products and services and have implemented cost-cutting and reimbursement initiatives and likely will continue to do so in the future. In addition, significant uncertainty exists as to the reimbursement status of newly approved healthcare products. The process for determining whether a payor will provide coverage for a product may be separate from the process for setting the price or reimbursement rate that the payor will pay for the product once coverage is approved. Third-party payors may limit coverage to specific products on an approved list, or formulary, which might not include all of the approved products for a particular indication. We may need to conduct expensive pharmacoeconomic studies to demonstrate the cost-effectiveness of our drug candidates for formulary coverage and reimbursement, in addition to the costs required to obtain FDA or other comparable regulatory approvals. Even with such studies, our drug candidates may be considered less safe, less effective or less cost-effective than existing products, and third-party payors may not provide coverage and reimbursement for our drug candidates, in whole or in part.</w:t>
      </w:r>
    </w:p>
    <w:p>
      <w:pPr>
        <w:spacing w:after="0" w:line="174" w:lineRule="exact"/>
        <w:rPr>
          <w:sz w:val="20"/>
          <w:szCs w:val="20"/>
          <w:color w:val="auto"/>
        </w:rPr>
      </w:pPr>
    </w:p>
    <w:p>
      <w:pPr>
        <w:ind w:right="40" w:firstLine="646"/>
        <w:spacing w:after="0" w:line="254" w:lineRule="auto"/>
        <w:rPr>
          <w:sz w:val="20"/>
          <w:szCs w:val="20"/>
          <w:color w:val="auto"/>
        </w:rPr>
      </w:pPr>
      <w:r>
        <w:rPr>
          <w:rFonts w:ascii="Times New Roman" w:cs="Times New Roman" w:eastAsia="Times New Roman" w:hAnsi="Times New Roman"/>
          <w:sz w:val="18"/>
          <w:szCs w:val="18"/>
          <w:color w:val="auto"/>
        </w:rPr>
        <w:t>In addition, particularly in the United States and increasingly in other countries, we are required to provide discounts and pay rebates to state and federal governments and agencies in connection with purchases of our drug candidates that are reimbursed by such entities. It is possible that future legislation in the United States and other jurisdictions could be enacted to potentially impact reimbursement rates for the drug candidates we are developing and may develop in the future and could further impact the levels of discounts and rebates paid to federal and state government entities. Any legislation that impacts these areas could impact, in a significant way, our ability to generate revenues from sales of drug candidates that, if successfully developed, we bring to market. Political, economic and regulatory influences are subjecting the healthcare industry in the United States to fundamental changes. There have been, and we expect there will continue to be, legislative and regulatory proposals to change the healthcare system in ways that could significantly affect our future business.</w:t>
      </w:r>
    </w:p>
    <w:p>
      <w:pPr>
        <w:spacing w:after="0" w:line="187" w:lineRule="exact"/>
        <w:rPr>
          <w:sz w:val="20"/>
          <w:szCs w:val="20"/>
          <w:color w:val="auto"/>
        </w:rPr>
      </w:pPr>
    </w:p>
    <w:p>
      <w:pPr>
        <w:ind w:firstLine="646"/>
        <w:spacing w:after="0" w:line="252" w:lineRule="auto"/>
        <w:rPr>
          <w:sz w:val="20"/>
          <w:szCs w:val="20"/>
          <w:color w:val="auto"/>
        </w:rPr>
      </w:pPr>
      <w:r>
        <w:rPr>
          <w:rFonts w:ascii="Times New Roman" w:cs="Times New Roman" w:eastAsia="Times New Roman" w:hAnsi="Times New Roman"/>
          <w:sz w:val="18"/>
          <w:szCs w:val="18"/>
          <w:color w:val="auto"/>
        </w:rPr>
        <w:t>In the European Union, pricing and reimbursement schemes vary widely from country to country. Some Member States provide that products may be marketed only after a reimbursement price has been agreed, whereas other Member States may require the completion of additional studies that compare the cost-effectiveness of a particular drug candidate to currently available therapies or so-called health technology assessments, in order to obtain reimbursement or pricing approval. For example, the European Union provides options for its Member States to restrict the range of products for which their national health insurance systems provide reimbursement and to control the prices of medicinal products for human use. Member States may approve a specific price for a product or may instead adopt a system of direct or indirect controls on the profitability of the company placing the product on the market. Other Member States allow companies to fix their own prices for products, but the competent authorities in such Member States monitor and control prescription volumes and issue guidance to physicians to limit prescriptions. Recently, many countries in the European Union have increased the amount of discounts required for medicinal products, and such efforts could continue as countries attempt to manage healthcare expenditures, especially in light of the severe fiscal and debt crises experienced by such countries. The downward pressure on healthcare costs in general, particularly prescription products, has become intense. As a result, increasingly high barriers are being erected to the entry of new products. Political, economic and regulatory developments may further complicate pricing negotiations, and pricing negotiations may continue after reimbursement has been obtained. Reference pricing used by various Member States, and parallel trade, i.e., arbitrage between low-priced and high-priced Member States, can further reduce prices.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36" w:name="page37"/>
    <w:bookmarkEnd w:id="36"/>
    <w:p>
      <w:pPr>
        <w:ind w:firstLine="646"/>
        <w:spacing w:after="0" w:line="253" w:lineRule="auto"/>
        <w:rPr>
          <w:sz w:val="20"/>
          <w:szCs w:val="20"/>
          <w:color w:val="auto"/>
        </w:rPr>
      </w:pPr>
      <w:r>
        <w:rPr>
          <w:rFonts w:ascii="Times New Roman" w:cs="Times New Roman" w:eastAsia="Times New Roman" w:hAnsi="Times New Roman"/>
          <w:sz w:val="18"/>
          <w:szCs w:val="18"/>
          <w:color w:val="auto"/>
        </w:rPr>
        <w:t>In international markets, reimbursement and healthcare payment systems vary significantly by country, and many countries have instituted price ceilings on specific products and therapies. Future legislation, or regulatory actions implementing recent or future legislation may have a significant effect on our business. Our ability to successfully commercialize products depends in part on the extent to which reimbursement for the costs of our drug candidates and related treatments will be available in the United States and worldwide from government and health administration authorities, private health insurers and other organizations. Moreover, a payor’s decision to provide coverage for a drug product does not imply that an adequate reimbursement rate will be approved. Third-party reimbursement may not be sufficient to maintain price levels high enough to realize an appropriate return on investment in product development. The adoption of certain proposals could limit the prices we are able to charge for our drug candidates, the amounts of reimbursement available for our drug candidates, and limit the acceptance and availability of our drug candidates. Therefore, substantial uncertainty exists as to the reimbursement status of newly approved healthcare products by third-party payors.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and Potential Changes to Healthcare Laws</w:t>
      </w:r>
    </w:p>
    <w:p>
      <w:pPr>
        <w:spacing w:after="0" w:line="228" w:lineRule="exact"/>
        <w:rPr>
          <w:sz w:val="20"/>
          <w:szCs w:val="20"/>
          <w:color w:val="auto"/>
        </w:rPr>
      </w:pPr>
    </w:p>
    <w:p>
      <w:pPr>
        <w:ind w:firstLine="646"/>
        <w:spacing w:after="0" w:line="280" w:lineRule="auto"/>
        <w:rPr>
          <w:sz w:val="20"/>
          <w:szCs w:val="20"/>
          <w:color w:val="auto"/>
        </w:rPr>
      </w:pPr>
      <w:r>
        <w:rPr>
          <w:rFonts w:ascii="Times New Roman" w:cs="Times New Roman" w:eastAsia="Times New Roman" w:hAnsi="Times New Roman"/>
          <w:sz w:val="17"/>
          <w:szCs w:val="17"/>
          <w:color w:val="auto"/>
        </w:rPr>
        <w:t>The FDA’s and other regulatory authorities’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otherwise may have obtained and we may not achieve or sustain profitability, which would adversely affect our business, prospects, financial condition and results of operations.</w:t>
      </w:r>
    </w:p>
    <w:p>
      <w:pPr>
        <w:spacing w:after="0" w:line="165" w:lineRule="exact"/>
        <w:rPr>
          <w:sz w:val="20"/>
          <w:szCs w:val="20"/>
          <w:color w:val="auto"/>
        </w:rPr>
      </w:pPr>
    </w:p>
    <w:p>
      <w:pPr>
        <w:ind w:firstLine="646"/>
        <w:spacing w:after="0" w:line="254"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We expect that there will continue to be a number of federal and state proposals to implement governmental pricing controls and limit the growth of healthcare costs, including the cost of prescription drugs. For example, in March 2010, the Patient Protection and Affordable Care Act (“ACA”), which, among other things, increased the minimum Medicaid rebates owed by most manufacturers under the Medicaid Drug Rebate Program; introduced a new methodology by which rebates owed by manufacturers under the Medicaid Drug Rebate Program are calculated for drugs that are inhaled, infused, instilled, implanted or injected; extended the Medicaid Drug Rebate Program to utilization of prescriptions of individuals enrolled in Medicaid managed care plans; imposed mandatory discounts for certain Medicare Part D beneficiaries as a condition for manufacturers’ outpatient drugs coverage under Medicare Part D; and established a Center for Medicare Innovation at CMS, to test innovative payment and service delivery models to lower Medicare and Medicaid spending.</w:t>
      </w:r>
    </w:p>
    <w:p>
      <w:pPr>
        <w:spacing w:after="0" w:line="187" w:lineRule="exact"/>
        <w:rPr>
          <w:sz w:val="20"/>
          <w:szCs w:val="20"/>
          <w:color w:val="auto"/>
        </w:rPr>
      </w:pPr>
    </w:p>
    <w:p>
      <w:pPr>
        <w:ind w:right="120" w:firstLine="646"/>
        <w:spacing w:after="0" w:line="260" w:lineRule="auto"/>
        <w:rPr>
          <w:sz w:val="20"/>
          <w:szCs w:val="20"/>
          <w:color w:val="auto"/>
        </w:rPr>
      </w:pPr>
      <w:r>
        <w:rPr>
          <w:rFonts w:ascii="Times New Roman" w:cs="Times New Roman" w:eastAsia="Times New Roman" w:hAnsi="Times New Roman"/>
          <w:sz w:val="18"/>
          <w:szCs w:val="18"/>
          <w:color w:val="auto"/>
        </w:rPr>
        <w:t>Legislative and regulatory changes under the ACA are possible, but it is unknown what form any such changes or any law would take and how or whether it may affect the pharmaceutical industry as a whole or our business in the future. We expect that changes or additions to the ACA, the Medicare and Medicaid programs, and changes stemming from other healthcare reform measures, especially with regard to healthcare access, financing or other legislation in individual states, could have a material adverse effect on the healthcare industry in the United States.</w:t>
      </w:r>
    </w:p>
    <w:p>
      <w:pPr>
        <w:spacing w:after="0" w:line="181" w:lineRule="exact"/>
        <w:rPr>
          <w:sz w:val="20"/>
          <w:szCs w:val="20"/>
          <w:color w:val="auto"/>
        </w:rPr>
      </w:pPr>
    </w:p>
    <w:p>
      <w:pPr>
        <w:ind w:right="80" w:firstLine="646"/>
        <w:spacing w:after="0" w:line="252" w:lineRule="auto"/>
        <w:rPr>
          <w:sz w:val="20"/>
          <w:szCs w:val="20"/>
          <w:color w:val="auto"/>
        </w:rPr>
      </w:pPr>
      <w:r>
        <w:rPr>
          <w:rFonts w:ascii="Times New Roman" w:cs="Times New Roman" w:eastAsia="Times New Roman" w:hAnsi="Times New Roman"/>
          <w:sz w:val="18"/>
          <w:szCs w:val="18"/>
          <w:color w:val="auto"/>
        </w:rPr>
        <w:t>Moreover, there has been heightened governmental scrutiny over the manner in which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Notably, the Further Consolidated Appropriations Act for 2020 into law (P.L. 116-94), which became law on December 20, 2019, includes a piece of bipartisan legislation called the Creating and Restoring Equal Access to Equivalent Samples Act of 2019 (the “CREATES Act”). The CREATES Act aims to address the concern articulated by both the FDA and others in the industry that some brand manufacturers have improperly restricted the distribution of their products, including by invoking the existence of a REMS for certain products, to deny generic and biosimilar product developers access to samples of brand products. Because generic and biosimilar product developers need samples to conduct certain comparative testing required by the FDA, some have attributed the inability to timely obtain samples as a cause of delay in the entry of generic and biosimilar products. To remedy this concern, the CREATES Act establishes a private cause of action that permits a generic or biosimilar product developer to sue the brand manufacturer to compel it to furnish the necessary samples on “commercially reasonable, market-based terms.” Whether and how generic and biosimilar product developments will use this new pathway, as well as the likely outcome of any legal challenges to provisions of the CREATES Act, remain highly uncertain and its potential effects on our future commercial products are unknown.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7" w:name="page38"/>
    <w:bookmarkEnd w:id="37"/>
    <w:p>
      <w:pPr>
        <w:ind w:firstLine="646"/>
        <w:spacing w:after="0" w:line="252" w:lineRule="auto"/>
        <w:rPr>
          <w:sz w:val="20"/>
          <w:szCs w:val="20"/>
          <w:color w:val="auto"/>
        </w:rPr>
      </w:pPr>
      <w:r>
        <w:rPr>
          <w:rFonts w:ascii="Times New Roman" w:cs="Times New Roman" w:eastAsia="Times New Roman" w:hAnsi="Times New Roman"/>
          <w:sz w:val="18"/>
          <w:szCs w:val="18"/>
          <w:color w:val="auto"/>
        </w:rPr>
        <w:t>More recently, in August 2022, President Biden signed into the law the Inflation Reduction Act of 2022 (“IRA”). Among other things, the IRA has multiple provisions that may impact the prices of drug products that are both sold into the Medicare program and throughout the United States. Starting in 2023, a manufacturer of a drug or biological product covered by Medicare Parts B or D must pay a rebate to the federal government if the drug product’s price increases faster than the rate of inflation. This calculation is made on a drug product by drug product basis and the amount of the rebate owed to the federal government is directly dependent on the volume of a drug product that is paid for by Medicare Parts B or D. Additionally, starting in payment year 2026, CMS will negotiate drug prices annually for a select number of single source Part D drugs without generic or biosimilar competition. CMS will also negotiate drug prices for a select number of Part B drugs starting for payment year 2028. If a drug product is selected by CMS for negotiation, it is expected that the revenue generated from such drug will decrease. CMS has begun to implement these new authorities and entered into the first set of agreements with pharmaceutical manufacturers to conduct price negotiations in October 2023. However, the IRA’s impact on the pharmaceutical industry in the United States remains uncertain, in part because multiple large pharmaceutical companies and other stakeholders (e.g., the U.S. Chamber of Commerce) have initiated federal lawsuits against CMS arguing the program is unconstitutional for a variety of reasons, among other complaints. Those lawsuits are currently ongoing.</w:t>
      </w:r>
    </w:p>
    <w:p>
      <w:pPr>
        <w:spacing w:after="0" w:line="193" w:lineRule="exact"/>
        <w:rPr>
          <w:sz w:val="20"/>
          <w:szCs w:val="20"/>
          <w:color w:val="auto"/>
        </w:rPr>
      </w:pPr>
    </w:p>
    <w:p>
      <w:pPr>
        <w:ind w:firstLine="646"/>
        <w:spacing w:after="0" w:line="252" w:lineRule="auto"/>
        <w:rPr>
          <w:sz w:val="20"/>
          <w:szCs w:val="20"/>
          <w:color w:val="auto"/>
        </w:rPr>
      </w:pPr>
      <w:r>
        <w:rPr>
          <w:rFonts w:ascii="Times New Roman" w:cs="Times New Roman" w:eastAsia="Times New Roman" w:hAnsi="Times New Roman"/>
          <w:sz w:val="18"/>
          <w:szCs w:val="18"/>
          <w:color w:val="auto"/>
        </w:rPr>
        <w:t>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pharmacy benefit managers (“PBMs”), and other members of the healthcare and pharmaceutical supply chain, an important decision that has led to more aggressive efforts by states in this area. The Federal Trade Commission in mid-2022 also launched sweeping investigations into the practices of the PBM industry that could lead to additional federal and state legislative or regulatory proposals targeting such entities’ operations, pharmacy networks, or financial arrangements. Numerous PBM reforms are being considered in both the Senate and the House of Representatives, including diverse legislative proposals such as eliminating rebates; divorcing service fees from the price of a drug, discount, or rebate; prohibiting spread pricing; limiting administrative fees; requiring PBMs to report formulary placement rationale; promoting transparency. Significant efforts to change the PBM industry as it currently exists in the U.S. may affect the entire pharmaceutical supply chain and the business of other stakeholders, including pharmaceutical developers like us.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products or put pressure on our product pricing, which could negatively affect our business, results of operations, financial condition and prospects.</w:t>
      </w:r>
    </w:p>
    <w:p>
      <w:pPr>
        <w:spacing w:after="0" w:line="190" w:lineRule="exact"/>
        <w:rPr>
          <w:sz w:val="20"/>
          <w:szCs w:val="20"/>
          <w:color w:val="auto"/>
        </w:rPr>
      </w:pPr>
    </w:p>
    <w:p>
      <w:pPr>
        <w:ind w:firstLine="646"/>
        <w:spacing w:after="0" w:line="252" w:lineRule="auto"/>
        <w:rPr>
          <w:sz w:val="20"/>
          <w:szCs w:val="20"/>
          <w:color w:val="auto"/>
        </w:rPr>
      </w:pPr>
      <w:r>
        <w:rPr>
          <w:rFonts w:ascii="Times New Roman" w:cs="Times New Roman" w:eastAsia="Times New Roman" w:hAnsi="Times New Roman"/>
          <w:sz w:val="18"/>
          <w:szCs w:val="18"/>
          <w:color w:val="auto"/>
        </w:rPr>
        <w:t>In the European Union and the United Kingdom, similar political, economic and regulatory developments may affect our ability to profitably commercialize any of our drug candidates, if approved. In addition to continuing pressure on prices and cost containment measures, legislative developments in the United Kingdom or at the European Union or member state level may result in significant additional requirements or obstacles that may increase our operating costs. The delivery of healthcare in the European Union, including the establishment and operation of health services and the pricing and reimbursement of medicines, is almost exclusively a matter for national, rather than European Union, law and policy. National governments and health service providers have different priorities and approaches to the delivery of healthcare and the pricing and reimbursement of products in that context. In general, however, the healthcare budgetary constraints in most member states and the United Kingdom have resulted in restrictions on the pricing and reimbursement of medicines by relevant health service providers. Coupled with increasing regulatory burdens on those wishing to develop and market products, this could prevent or delay marketing approval of our drug candidates, restrict or regulate post-approval activities and affect our ability to commercialize any products for which we obtain marketing approval. In international markets, reimbursement and healthcare payment systems vary significantly by country, and many countries have instituted price ceilings on specific products and therapies.</w:t>
      </w:r>
    </w:p>
    <w:p>
      <w:pPr>
        <w:spacing w:after="0" w:line="195" w:lineRule="exact"/>
        <w:rPr>
          <w:sz w:val="20"/>
          <w:szCs w:val="20"/>
          <w:color w:val="auto"/>
        </w:rPr>
      </w:pPr>
    </w:p>
    <w:p>
      <w:pPr>
        <w:jc w:val="both"/>
        <w:ind w:right="240" w:firstLine="646"/>
        <w:spacing w:after="0" w:line="288" w:lineRule="auto"/>
        <w:rPr>
          <w:sz w:val="20"/>
          <w:szCs w:val="20"/>
          <w:color w:val="auto"/>
        </w:rPr>
      </w:pPr>
      <w:r>
        <w:rPr>
          <w:rFonts w:ascii="Times New Roman" w:cs="Times New Roman" w:eastAsia="Times New Roman" w:hAnsi="Times New Roman"/>
          <w:sz w:val="17"/>
          <w:szCs w:val="17"/>
          <w:color w:val="auto"/>
        </w:rPr>
        <w:t>We cannot predict the likelihood, nature or extent of government regulation that may arise from future legislation or administrative or executive action, either in the United States or abroad. We expect that additional state and federal healthcare reform measures will be adopted in the future, any of which could limit the amounts that federal and state governments will pay for healthcare products and services, including prescription pharmaceuticals.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and Seasonality</w:t>
      </w:r>
    </w:p>
    <w:p>
      <w:pPr>
        <w:spacing w:after="0" w:line="228" w:lineRule="exact"/>
        <w:rPr>
          <w:sz w:val="20"/>
          <w:szCs w:val="20"/>
          <w:color w:val="auto"/>
        </w:rPr>
      </w:pPr>
    </w:p>
    <w:p>
      <w:pPr>
        <w:ind w:firstLine="646"/>
        <w:spacing w:after="0" w:line="260" w:lineRule="auto"/>
        <w:rPr>
          <w:sz w:val="20"/>
          <w:szCs w:val="20"/>
          <w:color w:val="auto"/>
        </w:rPr>
      </w:pPr>
      <w:r>
        <w:rPr>
          <w:rFonts w:ascii="Times New Roman" w:cs="Times New Roman" w:eastAsia="Times New Roman" w:hAnsi="Times New Roman"/>
          <w:sz w:val="18"/>
          <w:szCs w:val="18"/>
          <w:color w:val="auto"/>
        </w:rPr>
        <w:t>Management believes inflation has not had a material impact on our operations or financial condition. Management further believes that our operations are not currently subject to seasonal influences due to our current lack of marketed products. Moreover, the targets of our drug candidates are not seasonal diseases. Accordingly, should any of our drug candidates be approved, management does not expect that our business would be subject to seasonal influences.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Manufacturing and Raw Materials</w:t>
      </w:r>
    </w:p>
    <w:p>
      <w:pPr>
        <w:spacing w:after="0" w:line="228" w:lineRule="exact"/>
        <w:rPr>
          <w:sz w:val="20"/>
          <w:szCs w:val="20"/>
          <w:color w:val="auto"/>
        </w:rPr>
      </w:pPr>
    </w:p>
    <w:p>
      <w:pPr>
        <w:ind w:firstLine="646"/>
        <w:spacing w:after="0" w:line="260" w:lineRule="auto"/>
        <w:rPr>
          <w:sz w:val="20"/>
          <w:szCs w:val="20"/>
          <w:color w:val="auto"/>
        </w:rPr>
      </w:pPr>
      <w:r>
        <w:rPr>
          <w:rFonts w:ascii="Times New Roman" w:cs="Times New Roman" w:eastAsia="Times New Roman" w:hAnsi="Times New Roman"/>
          <w:sz w:val="18"/>
          <w:szCs w:val="18"/>
          <w:color w:val="auto"/>
        </w:rPr>
        <w:t>We have no manufacturing capabilities and, as noted above, are dependent on third parties for cost effective manufacture and manufacturing process development of our drug candidates. Problems with third-party manufacturers or the manufacturing process as such may delay or jeopardize clinical trials and commercialization of our drug candidates. We or our third-party manufacturers may also experience delays due to the DEA’s limitations on controlled substances discussed above.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8" w:lineRule="exact"/>
        <w:rPr>
          <w:sz w:val="20"/>
          <w:szCs w:val="20"/>
          <w:color w:val="auto"/>
        </w:rPr>
      </w:pPr>
    </w:p>
    <w:p>
      <w:pPr>
        <w:ind w:right="440" w:firstLine="646"/>
        <w:spacing w:after="0" w:line="281" w:lineRule="auto"/>
        <w:rPr>
          <w:sz w:val="20"/>
          <w:szCs w:val="20"/>
          <w:color w:val="auto"/>
        </w:rPr>
      </w:pPr>
      <w:r>
        <w:rPr>
          <w:rFonts w:ascii="Times New Roman" w:cs="Times New Roman" w:eastAsia="Times New Roman" w:hAnsi="Times New Roman"/>
          <w:sz w:val="18"/>
          <w:szCs w:val="18"/>
          <w:color w:val="auto"/>
        </w:rPr>
        <w:t>As of June 30, 2024 and as of December 31, 2023, we had a total of nine employees , all of which are full time. Of these employees, six were employed in R&amp;D and four were employed in general management and administration.</w:t>
      </w:r>
    </w:p>
    <w:p>
      <w:pPr>
        <w:spacing w:after="0" w:line="162" w:lineRule="exact"/>
        <w:rPr>
          <w:sz w:val="20"/>
          <w:szCs w:val="20"/>
          <w:color w:val="auto"/>
        </w:rPr>
      </w:pPr>
    </w:p>
    <w:p>
      <w:pPr>
        <w:ind w:right="280" w:firstLine="646"/>
        <w:spacing w:after="0" w:line="281" w:lineRule="auto"/>
        <w:rPr>
          <w:sz w:val="20"/>
          <w:szCs w:val="20"/>
          <w:color w:val="auto"/>
        </w:rPr>
      </w:pPr>
      <w:r>
        <w:rPr>
          <w:rFonts w:ascii="Times New Roman" w:cs="Times New Roman" w:eastAsia="Times New Roman" w:hAnsi="Times New Roman"/>
          <w:sz w:val="18"/>
          <w:szCs w:val="18"/>
          <w:color w:val="auto"/>
        </w:rPr>
        <w:t>Each of our full-time employees has entered into an employment agreement with an unlimited term. We may only terminate the employment of any of our employees in accordance with the relevant employee contract of employment.</w:t>
      </w:r>
    </w:p>
    <w:p>
      <w:pPr>
        <w:spacing w:after="0" w:line="162" w:lineRule="exact"/>
        <w:rPr>
          <w:sz w:val="20"/>
          <w:szCs w:val="20"/>
          <w:color w:val="auto"/>
        </w:rPr>
      </w:pPr>
    </w:p>
    <w:p>
      <w:pPr>
        <w:ind w:right="220" w:firstLine="646"/>
        <w:spacing w:after="0" w:line="281" w:lineRule="auto"/>
        <w:rPr>
          <w:sz w:val="20"/>
          <w:szCs w:val="20"/>
          <w:color w:val="auto"/>
        </w:rPr>
      </w:pPr>
      <w:r>
        <w:rPr>
          <w:rFonts w:ascii="Times New Roman" w:cs="Times New Roman" w:eastAsia="Times New Roman" w:hAnsi="Times New Roman"/>
          <w:sz w:val="18"/>
          <w:szCs w:val="18"/>
          <w:color w:val="auto"/>
        </w:rPr>
        <w:t>Our standard contract of employment for full-time employees provides that we can terminate the employment of an employee without notice for serious misconduct or with between one to six months’ notice without cause (as set out in the relevant employee’s contract of employment).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8" w:lineRule="exact"/>
        <w:rPr>
          <w:sz w:val="20"/>
          <w:szCs w:val="20"/>
          <w:color w:val="auto"/>
        </w:rPr>
      </w:pPr>
    </w:p>
    <w:p>
      <w:pPr>
        <w:ind w:firstLine="646"/>
        <w:spacing w:after="0" w:line="257" w:lineRule="auto"/>
        <w:rPr>
          <w:sz w:val="20"/>
          <w:szCs w:val="20"/>
          <w:color w:val="auto"/>
        </w:rPr>
      </w:pPr>
      <w:r>
        <w:rPr>
          <w:rFonts w:ascii="Times New Roman" w:cs="Times New Roman" w:eastAsia="Times New Roman" w:hAnsi="Times New Roman"/>
          <w:sz w:val="18"/>
          <w:szCs w:val="18"/>
          <w:color w:val="auto"/>
        </w:rPr>
        <w:t>Incannex Healthcare Inc., was incorporated in Delaware in July 2023. On November 28, 2023, the redomiciliation of Incannex Healthcare Limited, an Australian corporation (“Incannex Australia”), was implemented under Australian law in accordance with the Scheme Implementation Deed, as amended and restated on September 13, 2023, between Incannex Australia and the Company. As a result of the redomiciliation, Incannex Australia became a wholly-owned subsidiary of Incannex Healthcare Inc., which is the new ultimate parent company of the subsidiaries listed in the section entitled “Organizational Structure” below.</w:t>
      </w:r>
    </w:p>
    <w:p>
      <w:pPr>
        <w:spacing w:after="0" w:line="185" w:lineRule="exact"/>
        <w:rPr>
          <w:sz w:val="20"/>
          <w:szCs w:val="20"/>
          <w:color w:val="auto"/>
        </w:rPr>
      </w:pPr>
    </w:p>
    <w:p>
      <w:pPr>
        <w:ind w:right="160" w:firstLine="646"/>
        <w:spacing w:after="0" w:line="265" w:lineRule="auto"/>
        <w:rPr>
          <w:sz w:val="20"/>
          <w:szCs w:val="20"/>
          <w:color w:val="auto"/>
        </w:rPr>
      </w:pPr>
      <w:r>
        <w:rPr>
          <w:rFonts w:ascii="Times New Roman" w:cs="Times New Roman" w:eastAsia="Times New Roman" w:hAnsi="Times New Roman"/>
          <w:sz w:val="18"/>
          <w:szCs w:val="18"/>
          <w:color w:val="auto"/>
        </w:rPr>
        <w:t>Our principal office is located at Suite 105, 8 Century Circuit, Norwest 2153, NSW Australia and our telephone number is +61 409 840 786. Our address on the Internet is www.incannex.com. The reference to our website address does not constitute incorporation by reference of the information contained at or available through our website, and you should not consider it to be a part of this Annual Report.</w:t>
      </w:r>
    </w:p>
    <w:p>
      <w:pPr>
        <w:spacing w:after="0" w:line="176" w:lineRule="exact"/>
        <w:rPr>
          <w:sz w:val="20"/>
          <w:szCs w:val="20"/>
          <w:color w:val="auto"/>
        </w:rPr>
      </w:pPr>
    </w:p>
    <w:p>
      <w:pPr>
        <w:ind w:right="20" w:firstLine="646"/>
        <w:spacing w:after="0" w:line="257" w:lineRule="auto"/>
        <w:rPr>
          <w:sz w:val="20"/>
          <w:szCs w:val="20"/>
          <w:color w:val="auto"/>
        </w:rPr>
      </w:pPr>
      <w:r>
        <w:rPr>
          <w:rFonts w:ascii="Times New Roman" w:cs="Times New Roman" w:eastAsia="Times New Roman" w:hAnsi="Times New Roman"/>
          <w:sz w:val="18"/>
          <w:szCs w:val="18"/>
          <w:color w:val="auto"/>
        </w:rPr>
        <w:t>The information on, or accessible through, our website is not part of this Annual Report. We file Annual Reports on Form 10-K, Quarterly Reports on Form 10-Q, Current Reports on Form 8-K and amendments to those reports with the Securities and Exchange Commission (“SEC”). Our filings with the SEC are available free of charge on the SEC’s website and on the “Investors” section of our website as soon as reasonably practicable after we electronically file such material with, or furnish it to, the SEC. The SEC maintains an internet site that contains reports and information statements, and other information regarding issuers that file electronically with the SEC at www.sec.gov.</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228" w:lineRule="exact"/>
        <w:rPr>
          <w:sz w:val="20"/>
          <w:szCs w:val="20"/>
          <w:color w:val="auto"/>
        </w:rPr>
      </w:pPr>
    </w:p>
    <w:p>
      <w:pPr>
        <w:ind w:right="140" w:firstLine="646"/>
        <w:spacing w:after="0" w:line="281" w:lineRule="auto"/>
        <w:rPr>
          <w:sz w:val="20"/>
          <w:szCs w:val="20"/>
          <w:color w:val="auto"/>
        </w:rPr>
      </w:pPr>
      <w:r>
        <w:rPr>
          <w:rFonts w:ascii="Times New Roman" w:cs="Times New Roman" w:eastAsia="Times New Roman" w:hAnsi="Times New Roman"/>
          <w:sz w:val="18"/>
          <w:szCs w:val="18"/>
          <w:color w:val="auto"/>
        </w:rPr>
        <w:t>Below is a list of our significant wholly-owned subsidiaries, date of formation and jurisdiction. These subsidiaries were established to allow us to conduct commercial and clinical operations in Europe and the United States and expand our operations in Australia.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2240" w:type="dxa"/>
            <w:vAlign w:val="bottom"/>
          </w:tcPr>
          <w:p>
            <w:pPr>
              <w:spacing w:after="0"/>
              <w:rPr>
                <w:sz w:val="18"/>
                <w:szCs w:val="18"/>
                <w:color w:val="auto"/>
              </w:rPr>
            </w:pPr>
          </w:p>
        </w:tc>
      </w:tr>
      <w:tr>
        <w:trPr>
          <w:trHeight w:val="238"/>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Formation/Acquisition</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r>
      <w:tr>
        <w:trPr>
          <w:trHeight w:val="34"/>
        </w:trPr>
        <w:tc>
          <w:tcPr>
            <w:tcW w:w="5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15"/>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Incannex Healthcare Limited (now Incannex Healthcare Pty Ltd)</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November 30, 2023</w:t>
            </w:r>
          </w:p>
        </w:tc>
        <w:tc>
          <w:tcPr>
            <w:tcW w:w="220" w:type="dxa"/>
            <w:vAlign w:val="bottom"/>
            <w:shd w:val="clear" w:color="auto" w:fill="CCEEFF"/>
          </w:tcPr>
          <w:p>
            <w:pPr>
              <w:spacing w:after="0"/>
              <w:rPr>
                <w:sz w:val="18"/>
                <w:szCs w:val="18"/>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Victoria, Australia</w:t>
            </w:r>
          </w:p>
        </w:tc>
      </w:tr>
      <w:tr>
        <w:trPr>
          <w:trHeight w:val="215"/>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Incannex Pty Ltd</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November 30, 2018</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Victoria, Australia</w:t>
            </w:r>
          </w:p>
        </w:tc>
      </w:tr>
      <w:tr>
        <w:trPr>
          <w:trHeight w:val="215"/>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Psychennex Pty Ltd</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November 20, 2020</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Victoria, Australia</w:t>
            </w:r>
          </w:p>
        </w:tc>
      </w:tr>
      <w:tr>
        <w:trPr>
          <w:trHeight w:val="234"/>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APIRx Pharmaceutical USA, LLC</w:t>
            </w: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August 5, 2022</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r>
      <w:tr>
        <w:trPr>
          <w:trHeight w:val="635"/>
        </w:trPr>
        <w:tc>
          <w:tcPr>
            <w:tcW w:w="5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34</w:t>
            </w:r>
          </w:p>
        </w:tc>
        <w:tc>
          <w:tcPr>
            <w:tcW w:w="2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6" w:lineRule="exact"/>
        <w:rPr>
          <w:sz w:val="20"/>
          <w:szCs w:val="20"/>
          <w:color w:val="auto"/>
        </w:rPr>
      </w:pPr>
    </w:p>
    <w:p>
      <w:pPr>
        <w:ind w:firstLine="64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Investing in our common stock involves a high degree of risk. You should consider carefully the risks and uncertainties described below, together with all of the other information in this Annual Report, including our financial statements and related notes included elsewhere in this Annual Report and in the section titled “Management’s Discussion and </w:t>
      </w:r>
      <w:r>
        <w:rPr>
          <w:rFonts w:ascii="Times New Roman" w:cs="Times New Roman" w:eastAsia="Times New Roman" w:hAnsi="Times New Roman"/>
          <w:sz w:val="18"/>
          <w:szCs w:val="18"/>
          <w:color w:val="auto"/>
        </w:rPr>
        <w:t>Analysis</w:t>
      </w:r>
      <w:r>
        <w:rPr>
          <w:rFonts w:ascii="Times New Roman" w:cs="Times New Roman" w:eastAsia="Times New Roman" w:hAnsi="Times New Roman"/>
          <w:sz w:val="18"/>
          <w:szCs w:val="18"/>
          <w:i w:val="1"/>
          <w:iCs w:val="1"/>
          <w:color w:val="auto"/>
        </w:rPr>
        <w:t xml:space="preserve"> of Financial Condition and Results of Operations” before making an investment decision. If any of the following risks are realized, our business, financial condition, results of operations and prospects could be materially and adversely affected. In that event, the trading price of our common stock could decline, and you could lose part or all of your investment. Additional risks and uncertainties not presently known to us or that we currently believe to be immaterial also may impair our business, financial condition, results of operations and prospects.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8" w:lineRule="exact"/>
        <w:rPr>
          <w:sz w:val="20"/>
          <w:szCs w:val="20"/>
          <w:color w:val="auto"/>
        </w:rPr>
      </w:pPr>
    </w:p>
    <w:p>
      <w:pPr>
        <w:ind w:right="480" w:firstLine="646"/>
        <w:spacing w:after="0" w:line="265" w:lineRule="auto"/>
        <w:rPr>
          <w:sz w:val="20"/>
          <w:szCs w:val="20"/>
          <w:color w:val="auto"/>
        </w:rPr>
      </w:pPr>
      <w:r>
        <w:rPr>
          <w:rFonts w:ascii="Times New Roman" w:cs="Times New Roman" w:eastAsia="Times New Roman" w:hAnsi="Times New Roman"/>
          <w:sz w:val="18"/>
          <w:szCs w:val="18"/>
          <w:color w:val="auto"/>
        </w:rPr>
        <w:t>We are subject to a number of risks that if realized could affect our business, financial condition, results of operations and cash flows. As a clinical-stage biopharmaceutical company, certain elements of risk are inherent to our business. Accordingly, we encounter risks as part of the normal course of our business. Some of the more significant challenges and risks include the following: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228" w:lineRule="exact"/>
        <w:rPr>
          <w:sz w:val="20"/>
          <w:szCs w:val="20"/>
          <w:color w:val="auto"/>
        </w:rPr>
      </w:pPr>
    </w:p>
    <w:p>
      <w:pPr>
        <w:ind w:left="980" w:right="180" w:hanging="326"/>
        <w:spacing w:after="0" w:line="281"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and may not achieve or maintain profitability in the future. Our ability to achieve profitability depends on the successful development of our drug candidates.</w:t>
      </w:r>
    </w:p>
    <w:p>
      <w:pPr>
        <w:spacing w:after="0" w:line="161" w:lineRule="exact"/>
        <w:rPr>
          <w:rFonts w:ascii="Times New Roman" w:cs="Times New Roman" w:eastAsia="Times New Roman" w:hAnsi="Times New Roman"/>
          <w:sz w:val="18"/>
          <w:szCs w:val="18"/>
          <w:color w:val="auto"/>
        </w:rPr>
      </w:pPr>
    </w:p>
    <w:p>
      <w:pPr>
        <w:ind w:left="980" w:right="200" w:hanging="326"/>
        <w:spacing w:after="0" w:line="281"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R&amp;D tax incentives to provide resources to conduct our business operations. If the amount of R&amp;D tax incentives decreases, our results of operations and cash resources may be materially affected.</w:t>
      </w:r>
    </w:p>
    <w:p>
      <w:pPr>
        <w:spacing w:after="0" w:line="161" w:lineRule="exact"/>
        <w:rPr>
          <w:rFonts w:ascii="Times New Roman" w:cs="Times New Roman" w:eastAsia="Times New Roman" w:hAnsi="Times New Roman"/>
          <w:sz w:val="18"/>
          <w:szCs w:val="18"/>
          <w:color w:val="auto"/>
        </w:rPr>
      </w:pPr>
    </w:p>
    <w:p>
      <w:pPr>
        <w:ind w:left="980" w:right="420" w:hanging="326"/>
        <w:spacing w:after="0" w:line="265"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that we will need substantial additional funding in the near term to continue the development of our drug candidates. If we are unable to raise capital when needed or to do so on terms that are favorable to us, we could be forced to delay, reduce or eliminate our development programs or commercialization efforts or reduce or scale back our operations.</w:t>
      </w:r>
    </w:p>
    <w:p>
      <w:pPr>
        <w:spacing w:after="0" w:line="176" w:lineRule="exact"/>
        <w:rPr>
          <w:rFonts w:ascii="Times New Roman" w:cs="Times New Roman" w:eastAsia="Times New Roman" w:hAnsi="Times New Roman"/>
          <w:sz w:val="18"/>
          <w:szCs w:val="18"/>
          <w:color w:val="auto"/>
        </w:rPr>
      </w:pPr>
    </w:p>
    <w:p>
      <w:pPr>
        <w:ind w:left="980" w:right="20" w:hanging="326"/>
        <w:spacing w:after="0" w:line="265"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certain obligations pursuant to our securities purchase agreement and secured convertible debentures issued or to be issued thereunder, and our failure to comply with these obligations could have a material adverse effect on our business, financial condition or results of operations.</w:t>
      </w:r>
    </w:p>
    <w:p>
      <w:pPr>
        <w:spacing w:after="0" w:line="176" w:lineRule="exact"/>
        <w:rPr>
          <w:rFonts w:ascii="Times New Roman" w:cs="Times New Roman" w:eastAsia="Times New Roman" w:hAnsi="Times New Roman"/>
          <w:sz w:val="18"/>
          <w:szCs w:val="18"/>
          <w:color w:val="auto"/>
        </w:rPr>
      </w:pPr>
    </w:p>
    <w:p>
      <w:pPr>
        <w:ind w:left="980" w:right="460" w:hanging="326"/>
        <w:spacing w:after="0" w:line="265" w:lineRule="auto"/>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conditions and events that raise substantial doubt about our ability to continue as a going concern. Our independent registered public accounting firm has included an explanatory paragraph relating to our ability to continue as a going concern in its audit report, which is part of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Regulatory Approval of Our Drug Candidates</w:t>
      </w:r>
    </w:p>
    <w:p>
      <w:pPr>
        <w:spacing w:after="0" w:line="228" w:lineRule="exact"/>
        <w:rPr>
          <w:sz w:val="20"/>
          <w:szCs w:val="20"/>
          <w:color w:val="auto"/>
        </w:rPr>
      </w:pPr>
    </w:p>
    <w:p>
      <w:pPr>
        <w:ind w:left="980" w:hanging="32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obtain the necessary regulatory approvals, we will be unable to commercialize our drug candidates.</w:t>
      </w:r>
    </w:p>
    <w:p>
      <w:pPr>
        <w:spacing w:after="0" w:line="223" w:lineRule="exact"/>
        <w:rPr>
          <w:rFonts w:ascii="Times New Roman" w:cs="Times New Roman" w:eastAsia="Times New Roman" w:hAnsi="Times New Roman"/>
          <w:sz w:val="18"/>
          <w:szCs w:val="18"/>
          <w:color w:val="auto"/>
        </w:rPr>
      </w:pPr>
    </w:p>
    <w:p>
      <w:pPr>
        <w:ind w:left="980" w:hanging="326"/>
        <w:spacing w:after="0" w:line="265"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drug development involves a lengthy and expensive process with uncertain outcomes. The results of earlier preclinical studies or trials may not be predictive of the results of later clinical trials. Clinical trials are difficult to design and implement, and any of our clinical trials could produce unsuccessful results or fail at any stage in the process.</w:t>
      </w:r>
    </w:p>
    <w:p>
      <w:pPr>
        <w:spacing w:after="0" w:line="176"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Topline, interim or preliminary data from our trials may not be representative of final results.</w:t>
      </w:r>
    </w:p>
    <w:p>
      <w:pPr>
        <w:spacing w:after="0" w:line="223" w:lineRule="exact"/>
        <w:rPr>
          <w:rFonts w:ascii="Times New Roman" w:cs="Times New Roman" w:eastAsia="Times New Roman" w:hAnsi="Times New Roman"/>
          <w:sz w:val="18"/>
          <w:szCs w:val="18"/>
          <w:color w:val="auto"/>
        </w:rPr>
      </w:pPr>
    </w:p>
    <w:p>
      <w:pPr>
        <w:ind w:left="980" w:hanging="326"/>
        <w:spacing w:after="0" w:line="265" w:lineRule="auto"/>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 parties to conduct our preclinical and clinical trials. If these third parties do not successfully carry out their contractual duties or meet expected deadlines, we may not be able to obtain regulatory approval for or commercialize our drug candidates and our business could be substantially harmed.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Drug Candidates</w:t>
      </w:r>
    </w:p>
    <w:p>
      <w:pPr>
        <w:spacing w:after="0" w:line="228" w:lineRule="exact"/>
        <w:rPr>
          <w:sz w:val="20"/>
          <w:szCs w:val="20"/>
          <w:color w:val="auto"/>
        </w:rPr>
      </w:pPr>
    </w:p>
    <w:p>
      <w:pPr>
        <w:ind w:left="980" w:right="360" w:hanging="326"/>
        <w:spacing w:after="0" w:line="265"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receive marketing approval of a drug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products, if approved.</w:t>
      </w:r>
    </w:p>
    <w:p>
      <w:pPr>
        <w:spacing w:after="0" w:line="176" w:lineRule="exact"/>
        <w:rPr>
          <w:rFonts w:ascii="Times New Roman" w:cs="Times New Roman" w:eastAsia="Times New Roman" w:hAnsi="Times New Roman"/>
          <w:sz w:val="18"/>
          <w:szCs w:val="18"/>
          <w:color w:val="auto"/>
        </w:rPr>
      </w:pPr>
    </w:p>
    <w:p>
      <w:pPr>
        <w:ind w:left="980" w:right="60" w:hanging="326"/>
        <w:spacing w:after="0" w:line="311" w:lineRule="auto"/>
        <w:tabs>
          <w:tab w:leader="none" w:pos="9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drug candidates will be subject to controlled substance laws and regulations. Failure to receive necessary approvals may delay the launch of our drug candidates and failure to comply with these laws and regulations may adversely affect the results of our business operations.</w:t>
      </w:r>
    </w:p>
    <w:p>
      <w:pPr>
        <w:spacing w:after="0" w:line="139" w:lineRule="exact"/>
        <w:rPr>
          <w:rFonts w:ascii="Times New Roman" w:cs="Times New Roman" w:eastAsia="Times New Roman" w:hAnsi="Times New Roman"/>
          <w:sz w:val="17"/>
          <w:szCs w:val="17"/>
          <w:color w:val="auto"/>
        </w:rPr>
      </w:pPr>
    </w:p>
    <w:p>
      <w:pPr>
        <w:ind w:left="980" w:right="760" w:hanging="326"/>
        <w:spacing w:after="0" w:line="281"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production and sale of our drug candidates may be considered illegal or may otherwise be restricted due to the use of controlled substances, which may have consequences for the legality of investments from international jurisdictions.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w:t>
      </w:r>
    </w:p>
    <w:p>
      <w:pPr>
        <w:spacing w:after="0" w:line="228" w:lineRule="exact"/>
        <w:rPr>
          <w:sz w:val="20"/>
          <w:szCs w:val="20"/>
          <w:color w:val="auto"/>
        </w:rPr>
      </w:pPr>
    </w:p>
    <w:p>
      <w:pPr>
        <w:ind w:left="980" w:hanging="32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R&amp;D efforts will be jeopardized if we are unable to retain key personnel and cultivate key academic and scientific collaborations.</w:t>
      </w:r>
    </w:p>
    <w:p>
      <w:pPr>
        <w:spacing w:after="0" w:line="224" w:lineRule="exact"/>
        <w:rPr>
          <w:rFonts w:ascii="Times New Roman" w:cs="Times New Roman" w:eastAsia="Times New Roman" w:hAnsi="Times New Roman"/>
          <w:sz w:val="18"/>
          <w:szCs w:val="18"/>
          <w:color w:val="auto"/>
        </w:rPr>
      </w:pPr>
    </w:p>
    <w:p>
      <w:pPr>
        <w:ind w:left="980" w:right="180" w:hanging="326"/>
        <w:spacing w:after="0" w:line="257" w:lineRule="auto"/>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complex and evolving U.S. federal and state, and international laws and regulations, imposing obligations on how we collect, use, disclose, store and process personal data. We are also subject to information security policies and contractual obligations relating to privacy and data protection, including the use, processing, and cross-border transfer of personal data. The actual or perceived failure by us or vendors to comply with these laws and regulations, policies and contractual obligations could harm our business and/or reputation, and subject us to significant fines and liability.</w:t>
      </w:r>
    </w:p>
    <w:p>
      <w:pPr>
        <w:spacing w:after="0" w:line="184"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fluctuations in exchange rates which may adversely affect our operating results.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8" w:lineRule="exact"/>
        <w:rPr>
          <w:sz w:val="20"/>
          <w:szCs w:val="20"/>
          <w:color w:val="auto"/>
        </w:rPr>
      </w:pPr>
    </w:p>
    <w:p>
      <w:pPr>
        <w:ind w:left="980" w:right="160" w:hanging="326"/>
        <w:spacing w:after="0" w:line="281"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depends on our ability to protect our intellectual property and our proprietary technology, and we may not be able to protect our intellectual property rights throughout the world.</w:t>
      </w:r>
    </w:p>
    <w:p>
      <w:pPr>
        <w:spacing w:after="0" w:line="161" w:lineRule="exact"/>
        <w:rPr>
          <w:rFonts w:ascii="Times New Roman" w:cs="Times New Roman" w:eastAsia="Times New Roman" w:hAnsi="Times New Roman"/>
          <w:sz w:val="18"/>
          <w:szCs w:val="18"/>
          <w:color w:val="auto"/>
        </w:rPr>
      </w:pPr>
    </w:p>
    <w:p>
      <w:pPr>
        <w:ind w:left="980" w:right="20" w:hanging="326"/>
        <w:spacing w:after="0" w:line="281"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occurs under our issued and outstanding secured convertible debentures issued pursuant to the September 2024 Purchase Agreement, the holder may seek to enforce the related lien against substantially all of our assets.</w:t>
      </w:r>
    </w:p>
    <w:p>
      <w:pPr>
        <w:spacing w:after="0" w:line="161" w:lineRule="exact"/>
        <w:rPr>
          <w:rFonts w:ascii="Times New Roman" w:cs="Times New Roman" w:eastAsia="Times New Roman" w:hAnsi="Times New Roman"/>
          <w:sz w:val="18"/>
          <w:szCs w:val="18"/>
          <w:color w:val="auto"/>
        </w:rPr>
      </w:pPr>
    </w:p>
    <w:p>
      <w:pPr>
        <w:ind w:left="980" w:right="80" w:hanging="326"/>
        <w:spacing w:after="0" w:line="265"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patent protection for any drug candidates, our competitors could develop and commercialize products or technology similar or identical to ours, and our ability to successfully commercialize any drug candidates we may develop, and our technology may be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Investing in Our Securities</w:t>
      </w:r>
    </w:p>
    <w:p>
      <w:pPr>
        <w:spacing w:after="0" w:line="228" w:lineRule="exact"/>
        <w:rPr>
          <w:sz w:val="20"/>
          <w:szCs w:val="20"/>
          <w:color w:val="auto"/>
        </w:rPr>
      </w:pPr>
    </w:p>
    <w:p>
      <w:pPr>
        <w:ind w:left="980" w:right="460" w:hanging="326"/>
        <w:spacing w:after="0" w:line="281"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has been and may continue to be highly volatile, which may make it difficult for stockholders to sell our common stock when desired or at attractive prices.</w:t>
      </w:r>
    </w:p>
    <w:p>
      <w:pPr>
        <w:spacing w:after="0" w:line="161" w:lineRule="exact"/>
        <w:rPr>
          <w:rFonts w:ascii="Times New Roman" w:cs="Times New Roman" w:eastAsia="Times New Roman" w:hAnsi="Times New Roman"/>
          <w:sz w:val="18"/>
          <w:szCs w:val="18"/>
          <w:color w:val="auto"/>
        </w:rPr>
      </w:pPr>
    </w:p>
    <w:p>
      <w:pPr>
        <w:ind w:left="980" w:hanging="326"/>
        <w:spacing w:after="0" w:line="260"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could be further diluted as the result of the issuance of additional shares of common stock, convertible securities, warrants, options, shares of common stock upon the conversion of the September 2024 Debentures, upon the sale of shares of our common stock pursuant to our equity line of credit agreement with Arena Business, or upon the exercise of the ELOC Warrant. Future sales of shares of our common stock in the public market, or the perception that such sales could occur, could cause our stock price to fall</w:t>
      </w:r>
      <w:r>
        <w:rPr>
          <w:rFonts w:ascii="Times New Roman" w:cs="Times New Roman" w:eastAsia="Times New Roman" w:hAnsi="Times New Roman"/>
          <w:sz w:val="18"/>
          <w:szCs w:val="18"/>
          <w:b w:val="1"/>
          <w:bCs w:val="1"/>
          <w:i w:val="1"/>
          <w:iCs w:val="1"/>
          <w:color w:val="auto"/>
        </w:rPr>
        <w:t>.</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224" w:lineRule="exact"/>
        <w:rPr>
          <w:sz w:val="20"/>
          <w:szCs w:val="20"/>
          <w:color w:val="auto"/>
        </w:rPr>
      </w:pPr>
    </w:p>
    <w:p>
      <w:pPr>
        <w:ind w:right="40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may not achieve or maintain profitability in the future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Our ability to achieve profitability depends on the successful development of our drug candidates.</w:t>
      </w:r>
    </w:p>
    <w:p>
      <w:pPr>
        <w:spacing w:after="0" w:line="159" w:lineRule="exact"/>
        <w:rPr>
          <w:sz w:val="20"/>
          <w:szCs w:val="20"/>
          <w:color w:val="auto"/>
        </w:rPr>
      </w:pPr>
    </w:p>
    <w:p>
      <w:pPr>
        <w:ind w:right="20" w:firstLine="646"/>
        <w:spacing w:after="0" w:line="257" w:lineRule="auto"/>
        <w:rPr>
          <w:sz w:val="20"/>
          <w:szCs w:val="20"/>
          <w:color w:val="auto"/>
        </w:rPr>
      </w:pPr>
      <w:r>
        <w:rPr>
          <w:rFonts w:ascii="Times New Roman" w:cs="Times New Roman" w:eastAsia="Times New Roman" w:hAnsi="Times New Roman"/>
          <w:sz w:val="18"/>
          <w:szCs w:val="18"/>
          <w:color w:val="auto"/>
        </w:rPr>
        <w:t>We are a clinical-stage biopharmaceutical company, and the success of our drug candidates is therefore uncertain. None of our drug candidates has been approved for commercial sale in any jurisdiction, and we expect it to be several years before any of them may be approved, if ever. We will not be able to generate product revenue unless and until our drug candidates, alone or with future partners, successfully complete clinical trials, receive regulatory approval and are successfully commercialized. Although we may seek to obtain revenue from collaboration or licensing agreements with third parties, we currently have no such agreements that could provide us with material, ongoing future revenue, and we may never enter into any such agreements.</w:t>
      </w:r>
    </w:p>
    <w:p>
      <w:pPr>
        <w:spacing w:after="0" w:line="185" w:lineRule="exact"/>
        <w:rPr>
          <w:sz w:val="20"/>
          <w:szCs w:val="20"/>
          <w:color w:val="auto"/>
        </w:rPr>
      </w:pPr>
    </w:p>
    <w:p>
      <w:pPr>
        <w:jc w:val="both"/>
        <w:ind w:right="60" w:firstLine="646"/>
        <w:spacing w:after="0" w:line="288" w:lineRule="auto"/>
        <w:rPr>
          <w:sz w:val="20"/>
          <w:szCs w:val="20"/>
          <w:color w:val="auto"/>
        </w:rPr>
      </w:pPr>
      <w:r>
        <w:rPr>
          <w:rFonts w:ascii="Times New Roman" w:cs="Times New Roman" w:eastAsia="Times New Roman" w:hAnsi="Times New Roman"/>
          <w:sz w:val="17"/>
          <w:szCs w:val="17"/>
          <w:color w:val="auto"/>
        </w:rPr>
        <w:t>We have experienced significant recurring operating losses and negative cash flows from operating activities since inception. For example, for the fiscal years ended June 2023 and 2024, we had total comprehensive losses of $48.8 million and $18.5 million, respectively, and we had negative cash flows from operating activities of $2.9 million and $16.0 million, respectively. As of June 30, 2024, we had accumulated comprehensive losses of $110.7 million.</w:t>
      </w:r>
    </w:p>
    <w:p>
      <w:pPr>
        <w:spacing w:after="0" w:line="158" w:lineRule="exact"/>
        <w:rPr>
          <w:sz w:val="20"/>
          <w:szCs w:val="20"/>
          <w:color w:val="auto"/>
        </w:rPr>
      </w:pPr>
    </w:p>
    <w:p>
      <w:pPr>
        <w:ind w:right="60" w:firstLine="646"/>
        <w:spacing w:after="0" w:line="260" w:lineRule="auto"/>
        <w:rPr>
          <w:sz w:val="20"/>
          <w:szCs w:val="20"/>
          <w:color w:val="auto"/>
        </w:rPr>
      </w:pPr>
      <w:r>
        <w:rPr>
          <w:rFonts w:ascii="Times New Roman" w:cs="Times New Roman" w:eastAsia="Times New Roman" w:hAnsi="Times New Roman"/>
          <w:sz w:val="18"/>
          <w:szCs w:val="18"/>
          <w:color w:val="auto"/>
        </w:rPr>
        <w:t>We expect to continue to incur losses from operations for the foreseeable future and expect the costs of drug development to increase in the future as more patients are recruited for our clinical trials. Because of the numerous risks and uncertainties associated with the research development and manufacturing of our drug candidates, we may experience larger than expected future losses and, particularly if we fail to successfully develop one or more of our drug candidates, we may never become profitable or if we become profitable, main profitability.</w:t>
      </w:r>
    </w:p>
    <w:p>
      <w:pPr>
        <w:spacing w:after="0" w:line="177" w:lineRule="exact"/>
        <w:rPr>
          <w:sz w:val="20"/>
          <w:szCs w:val="20"/>
          <w:color w:val="auto"/>
        </w:rPr>
      </w:pPr>
    </w:p>
    <w:p>
      <w:pPr>
        <w:ind w:right="18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rely on R&amp;D tax incentives to provide resources to conduct our business operations. If the amount of R&amp;D tax incentives decreases, our results of operations and cash resources may be materially affected.</w:t>
      </w:r>
    </w:p>
    <w:p>
      <w:pPr>
        <w:spacing w:after="0" w:line="159" w:lineRule="exact"/>
        <w:rPr>
          <w:sz w:val="20"/>
          <w:szCs w:val="20"/>
          <w:color w:val="auto"/>
        </w:rPr>
      </w:pPr>
    </w:p>
    <w:p>
      <w:pPr>
        <w:ind w:firstLine="646"/>
        <w:spacing w:after="0" w:line="276" w:lineRule="auto"/>
        <w:rPr>
          <w:sz w:val="20"/>
          <w:szCs w:val="20"/>
          <w:color w:val="auto"/>
        </w:rPr>
      </w:pPr>
      <w:r>
        <w:rPr>
          <w:rFonts w:ascii="Times New Roman" w:cs="Times New Roman" w:eastAsia="Times New Roman" w:hAnsi="Times New Roman"/>
          <w:sz w:val="17"/>
          <w:szCs w:val="17"/>
          <w:color w:val="auto"/>
        </w:rPr>
        <w:t>In fiscal 2023 and 2024, respectively, we received $683,000 and $11.4 million in R&amp;D tax incentives from the Australian government as a result of the clinical trials activities conducted in Australia. In Australia, entities are entitled to either (i) a 48.5% refundable tax offset for eligible companies with an aggregated turnover of less than A$20 million per annum or (ii) a non-refundable 38.5% tax offset for all other eligible companies. Our aggregated turnover is less than A$20 million and not controlled by one or more income tax exempt entities. We anticipate being entitled to a claim of 48.5% refundable tax offset for costs relating to eligible R&amp;D activities during the year. Such incentives provide material resources to conduct our business operations.</w:t>
      </w:r>
    </w:p>
    <w:p>
      <w:pPr>
        <w:spacing w:after="0" w:line="169" w:lineRule="exact"/>
        <w:rPr>
          <w:sz w:val="20"/>
          <w:szCs w:val="20"/>
          <w:color w:val="auto"/>
        </w:rPr>
      </w:pPr>
    </w:p>
    <w:p>
      <w:pPr>
        <w:ind w:right="140" w:firstLine="646"/>
        <w:spacing w:after="0" w:line="255" w:lineRule="auto"/>
        <w:rPr>
          <w:sz w:val="20"/>
          <w:szCs w:val="20"/>
          <w:color w:val="auto"/>
        </w:rPr>
      </w:pPr>
      <w:r>
        <w:rPr>
          <w:rFonts w:ascii="Times New Roman" w:cs="Times New Roman" w:eastAsia="Times New Roman" w:hAnsi="Times New Roman"/>
          <w:sz w:val="18"/>
          <w:szCs w:val="18"/>
          <w:color w:val="auto"/>
        </w:rPr>
        <w:t>However, we have no control on the rate of R&amp;D tax incentives or on the conditions to receive these incentives. Certain R&amp;D costs that we incur in the future may be ineligible for cash incentives. For example, costs incurred outside Australia in connection with our future clinical trials are generally not eligible for cash incentives. In addition, the federal government of Australia and the Australian Taxation Office (“ATO”) could change the rules of the regulatory regime or amend past tax returns and, as a result, amounts paid to us may become repayable to the ATO, including the amount of tax incentives in respect to our fiscal year ended June 30, 2024, which is included as current receivables in our consolidated financial statements. Any rule changes made to reduce the amount we are able to claim currently or in the future and any retrospective changes that reduce the incentives that we have claimed in past tax years could harm our business, financial condition and results of operations.</w:t>
      </w:r>
    </w:p>
    <w:p>
      <w:pPr>
        <w:spacing w:after="0" w:line="180" w:lineRule="exact"/>
        <w:rPr>
          <w:sz w:val="20"/>
          <w:szCs w:val="20"/>
          <w:color w:val="auto"/>
        </w:rPr>
      </w:pPr>
    </w:p>
    <w:p>
      <w:pPr>
        <w:ind w:right="22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expect that we will need substantial additional funding in the near term to continue the development of our drug candidates. If we are unable to raise capital when needed or to do so on terms that are favorable to us, we could be forced to delay, reduce or eliminate our development programs or commercialization efforts or reduce or scale back our operations.</w:t>
      </w:r>
    </w:p>
    <w:p>
      <w:pPr>
        <w:spacing w:after="0" w:line="175" w:lineRule="exact"/>
        <w:rPr>
          <w:sz w:val="20"/>
          <w:szCs w:val="20"/>
          <w:color w:val="auto"/>
        </w:rPr>
      </w:pPr>
    </w:p>
    <w:p>
      <w:pPr>
        <w:ind w:right="180" w:firstLine="646"/>
        <w:spacing w:after="0" w:line="280" w:lineRule="auto"/>
        <w:rPr>
          <w:sz w:val="20"/>
          <w:szCs w:val="20"/>
          <w:color w:val="auto"/>
        </w:rPr>
      </w:pPr>
      <w:r>
        <w:rPr>
          <w:rFonts w:ascii="Times New Roman" w:cs="Times New Roman" w:eastAsia="Times New Roman" w:hAnsi="Times New Roman"/>
          <w:sz w:val="17"/>
          <w:szCs w:val="17"/>
          <w:color w:val="auto"/>
        </w:rPr>
        <w:t>To date, we have not generated any revenue from product sales to customers and none of our drug candidates have been approved for commercialization by any regulatory body. We do not expect to receive any revenue from any drug candidates that we develop, including IHL-42X, PSX-001, and IHL-675A, unless and until we obtain regulatory approval for these candidates. Our future net losses will depend, in large part, on our success in developing our drug candidates. Correspondingly, the amount of our future net losses will depend, in part, on the rate of our future expenditures.</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42" w:name="page43"/>
    <w:bookmarkEnd w:id="42"/>
    <w:p>
      <w:pPr>
        <w:ind w:left="660"/>
        <w:spacing w:after="0"/>
        <w:rPr>
          <w:sz w:val="20"/>
          <w:szCs w:val="20"/>
          <w:color w:val="auto"/>
        </w:rPr>
      </w:pPr>
      <w:r>
        <w:rPr>
          <w:rFonts w:ascii="Times New Roman" w:cs="Times New Roman" w:eastAsia="Times New Roman" w:hAnsi="Times New Roman"/>
          <w:sz w:val="18"/>
          <w:szCs w:val="18"/>
          <w:color w:val="auto"/>
        </w:rPr>
        <w:t>We anticipate that our expenses will increase substantially for the foreseeable future if, and as, we:</w:t>
      </w:r>
    </w:p>
    <w:p>
      <w:pPr>
        <w:spacing w:after="0" w:line="224" w:lineRule="exact"/>
        <w:rPr>
          <w:sz w:val="20"/>
          <w:szCs w:val="20"/>
          <w:color w:val="auto"/>
        </w:rPr>
      </w:pPr>
    </w:p>
    <w:p>
      <w:pPr>
        <w:ind w:left="980" w:hanging="326"/>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our research and preclinical and clinical development of our drug candidates;</w:t>
      </w:r>
    </w:p>
    <w:p>
      <w:pPr>
        <w:spacing w:after="0" w:line="224"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scope of our current proposed clinical studies for our drug candidates;</w:t>
      </w:r>
    </w:p>
    <w:p>
      <w:pPr>
        <w:spacing w:after="0" w:line="224"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additional preclinical, clinical or other studies for our drug candidates;</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or add manufacturers or suppliers;</w:t>
      </w:r>
    </w:p>
    <w:p>
      <w:pPr>
        <w:spacing w:after="0" w:line="224"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and marketing approvals for our drug candidates that successfully complete clinical studies;</w:t>
      </w:r>
    </w:p>
    <w:p>
      <w:pPr>
        <w:spacing w:after="0" w:line="224"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identify and validate additional drug candidates;</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drug candidates and technologies;</w:t>
      </w:r>
    </w:p>
    <w:p>
      <w:pPr>
        <w:spacing w:after="0" w:line="224"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protect and expand our intellectual property portfolio;</w:t>
      </w:r>
    </w:p>
    <w:p>
      <w:pPr>
        <w:spacing w:after="0" w:line="224"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skilled personnel;</w:t>
      </w:r>
    </w:p>
    <w:p>
      <w:pPr>
        <w:spacing w:after="0" w:line="223" w:lineRule="exact"/>
        <w:rPr>
          <w:rFonts w:ascii="Times New Roman" w:cs="Times New Roman" w:eastAsia="Times New Roman" w:hAnsi="Times New Roman"/>
          <w:sz w:val="18"/>
          <w:szCs w:val="18"/>
          <w:color w:val="auto"/>
        </w:rPr>
      </w:pPr>
    </w:p>
    <w:p>
      <w:pPr>
        <w:ind w:left="980" w:right="480" w:hanging="326"/>
        <w:spacing w:after="0" w:line="281" w:lineRule="auto"/>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additional infrastructure to support our operations as a publicly quoted company and our product development and planned future commercialization efforts; and</w:t>
      </w:r>
    </w:p>
    <w:p>
      <w:pPr>
        <w:spacing w:after="0" w:line="161"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issues with any of the above.</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will need to obtain additional funding in connection with the further development of our drug candidates.</w:t>
      </w:r>
    </w:p>
    <w:p>
      <w:pPr>
        <w:spacing w:after="0" w:line="224" w:lineRule="exact"/>
        <w:rPr>
          <w:sz w:val="20"/>
          <w:szCs w:val="20"/>
          <w:color w:val="auto"/>
        </w:rPr>
      </w:pPr>
    </w:p>
    <w:p>
      <w:pPr>
        <w:ind w:right="20" w:firstLine="646"/>
        <w:spacing w:after="0" w:line="253" w:lineRule="auto"/>
        <w:rPr>
          <w:sz w:val="20"/>
          <w:szCs w:val="20"/>
          <w:color w:val="auto"/>
        </w:rPr>
      </w:pPr>
      <w:r>
        <w:rPr>
          <w:rFonts w:ascii="Times New Roman" w:cs="Times New Roman" w:eastAsia="Times New Roman" w:hAnsi="Times New Roman"/>
          <w:sz w:val="18"/>
          <w:szCs w:val="18"/>
          <w:color w:val="auto"/>
        </w:rPr>
        <w:t>In the near term, any additional equity fundraising in the capital markets may be dilutive for stockholders. To the extent that we raise additional capital through the sale of equity (including through our ELOC (as defined below)), convertible debt (including our September 2024 Debentures (as defined below)) or other securities convertible into equity, the ownership interest of our stockholders will be diluted, and the terms of new securities may include liquidation or other preferences that adversely affect rights of our stockholders. Debt financing, if available at all, would likely involve agreements that include covenants limiting or restricting our ability to take specific actions, such as incurring additional debt, making capital expenditures, completing acquisitions or declaring or paying dividends. Pursuant to the terms of the Securities Purchase Agreement, dated as of September 6, 2024, by and between us and each purchaser thereto (the “September 2024 Purchase Agreement”), we are restricted from obtaining additional debt financing, making capital expenditures, completing acquisitions or declaring or paying dividends, subject to certain limited exceptions. If we raise additional funds through strategic collaborations or licensing arrangements with third parties, we may have to relinquish valuable rights to our drug candidates or future revenue streams or grant licenses on terms that are not favorable to us.</w:t>
      </w:r>
    </w:p>
    <w:p>
      <w:pPr>
        <w:spacing w:after="0" w:line="188" w:lineRule="exact"/>
        <w:rPr>
          <w:sz w:val="20"/>
          <w:szCs w:val="20"/>
          <w:color w:val="auto"/>
        </w:rPr>
      </w:pPr>
    </w:p>
    <w:p>
      <w:pPr>
        <w:ind w:right="20" w:firstLine="646"/>
        <w:spacing w:after="0" w:line="257" w:lineRule="auto"/>
        <w:rPr>
          <w:sz w:val="20"/>
          <w:szCs w:val="20"/>
          <w:color w:val="auto"/>
        </w:rPr>
      </w:pPr>
      <w:r>
        <w:rPr>
          <w:rFonts w:ascii="Times New Roman" w:cs="Times New Roman" w:eastAsia="Times New Roman" w:hAnsi="Times New Roman"/>
          <w:sz w:val="18"/>
          <w:szCs w:val="18"/>
          <w:color w:val="auto"/>
        </w:rPr>
        <w:t>As noted above, we also have historically received, and may receive in the future, tax incentives for R&amp;D. These tax incentives have been, and any future government grants and contracts we may receive may be, subject to the risks and contingencies set forth above this section in the risk factor titled “</w:t>
      </w:r>
      <w:r>
        <w:rPr>
          <w:rFonts w:ascii="Times New Roman" w:cs="Times New Roman" w:eastAsia="Times New Roman" w:hAnsi="Times New Roman"/>
          <w:sz w:val="18"/>
          <w:szCs w:val="18"/>
          <w:i w:val="1"/>
          <w:iCs w:val="1"/>
          <w:color w:val="auto"/>
        </w:rPr>
        <w:t>We rely on R&amp;D tax incentives to provide resources to conduct our business operations. If the amount of R&amp;D tax incentives decreases our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 may be materially affected.</w:t>
      </w:r>
      <w:r>
        <w:rPr>
          <w:rFonts w:ascii="Times New Roman" w:cs="Times New Roman" w:eastAsia="Times New Roman" w:hAnsi="Times New Roman"/>
          <w:sz w:val="18"/>
          <w:szCs w:val="18"/>
          <w:color w:val="auto"/>
        </w:rPr>
        <w:t>” Although we might apply for additional tax incentives, government contracts or grants in the future, we cannot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assure that we will be successful in obtaining these for any drug candidates or programs.</w:t>
      </w:r>
    </w:p>
    <w:p>
      <w:pPr>
        <w:spacing w:after="0" w:line="185" w:lineRule="exact"/>
        <w:rPr>
          <w:sz w:val="20"/>
          <w:szCs w:val="20"/>
          <w:color w:val="auto"/>
        </w:rPr>
      </w:pPr>
    </w:p>
    <w:p>
      <w:pPr>
        <w:ind w:firstLine="646"/>
        <w:spacing w:after="0" w:line="255" w:lineRule="auto"/>
        <w:rPr>
          <w:sz w:val="20"/>
          <w:szCs w:val="20"/>
          <w:color w:val="auto"/>
        </w:rPr>
      </w:pPr>
      <w:r>
        <w:rPr>
          <w:rFonts w:ascii="Times New Roman" w:cs="Times New Roman" w:eastAsia="Times New Roman" w:hAnsi="Times New Roman"/>
          <w:sz w:val="18"/>
          <w:szCs w:val="18"/>
          <w:color w:val="auto"/>
        </w:rPr>
        <w:t>Our ability to obtain additional financing will be subject to a number of factors, including market conditions, our operating performance and investor sentiment. As such, additional financing may not be available to us when needed, on acceptable terms, or at all. In addition, disruptions and volatility in recent years in the financial markets have made equity and debt financing more difficult to obtain and may have a material adverse effect on our ability to meet our fundraising needs. If we are unable to secure sufficient capital to fund our operations, then we may be required to delay, limit, reduce or terminate our drug development or future commercialization efforts or grant rights to third parties to develop and market drug candidates that we would otherwise prefer to develop and market ourselves. Moreover, we could also have to relinquish valuable rights to our technologies, future revenue streams, research programs or drug candidates or grant licenses on terms that may not be favorable to us.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43" w:name="page44"/>
    <w:bookmarkEnd w:id="43"/>
    <w:p>
      <w:pPr>
        <w:ind w:right="540" w:firstLine="646"/>
        <w:spacing w:after="0" w:line="260" w:lineRule="auto"/>
        <w:rPr>
          <w:sz w:val="20"/>
          <w:szCs w:val="20"/>
          <w:color w:val="auto"/>
        </w:rPr>
      </w:pPr>
      <w:r>
        <w:rPr>
          <w:rFonts w:ascii="Times New Roman" w:cs="Times New Roman" w:eastAsia="Times New Roman" w:hAnsi="Times New Roman"/>
          <w:sz w:val="18"/>
          <w:szCs w:val="18"/>
          <w:color w:val="auto"/>
        </w:rPr>
        <w:t>In addition, securing additional financing requires a substantial amount of time and attention from our management and may divert a disproportionate amount of their attention away from day-to-day activities, which may adversely affect our management’s ability to oversee the development of our drug candidates. Any of these circumstances or the failure to obtain funding, when and as needed, and on favorable terms would adversely affect our business, results of operations, R&amp;D efforts, prospects and potentially the value of our common stock.</w:t>
      </w:r>
    </w:p>
    <w:p>
      <w:pPr>
        <w:spacing w:after="0" w:line="177"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conditions and events that raise substantial doubt about our ability to continue as a going concern. Our independent registered public accounting firm has included an explanatory paragraph relating to our ability to continue as a going concern in its audit report, which is part of this Annual Report.</w:t>
      </w:r>
    </w:p>
    <w:p>
      <w:pPr>
        <w:spacing w:after="0" w:line="175" w:lineRule="exact"/>
        <w:rPr>
          <w:sz w:val="20"/>
          <w:szCs w:val="20"/>
          <w:color w:val="auto"/>
        </w:rPr>
      </w:pPr>
    </w:p>
    <w:p>
      <w:pPr>
        <w:ind w:firstLine="646"/>
        <w:spacing w:after="0" w:line="251" w:lineRule="auto"/>
        <w:rPr>
          <w:sz w:val="20"/>
          <w:szCs w:val="20"/>
          <w:color w:val="auto"/>
        </w:rPr>
      </w:pPr>
      <w:r>
        <w:rPr>
          <w:rFonts w:ascii="Times New Roman" w:cs="Times New Roman" w:eastAsia="Times New Roman" w:hAnsi="Times New Roman"/>
          <w:sz w:val="18"/>
          <w:szCs w:val="18"/>
          <w:color w:val="auto"/>
        </w:rPr>
        <w:t>We believe there is substantial doubt about our ability to continue as a going concern for the 12-month period immediately following the date of this Annual Report. We have not yet established an ongoing source of revenue sufficient to cover our operating and capital expenditure requirements. Based on our unrestricted cash and cash equivalents as of June 30, 2024, we anticipate that we will be able to fund our planned operating expenses and capital expenditure requirements into December 2024. In September 2024, we entered into the September 2024 Purchase Agreement, pursuant to which we plan to issue secured convertible debentures in an aggregate principal amount of up to US$10 million at an aggregate purchase price of up to US$9 million, divided into three separate tranches that are each subject to certain closing conditions, and we also entered into a Purchase Agreement (the “ELOC Agreement”) with Arena Business Solutions Global SPC II, Ltd (“Arena Business), pursuant to which we have the right to sell (subject to the conditions set forth in the agreement), and Arena Business has the obligation to buy, up to US$50 million of our shares of common stock. We also issued a warrant to Arena Business (the “ELOC Warrant”), which is exercisable for 585,000 shares of our common stock, with a five-year expiration and an exercise price equal to 115% of the closing price of the common stock on the warrant issuance date. We believe that our current cash and cash equivalents, potential cash flows from the ELOC Agreement and potential issuance of the convertible debentures pursuant to the September 2024 Purchase Agreement would be sufficient to meet our anticipated working capital requirements and capital expenditures in the ordinary course of business until August 2025. However, there can be no assurance that we will continue to comply with the terms of these agreements or that these issuances will occur. We may also seek to address this going concern through other sales of common stock in public offerings and/or private placements, debt financings, or through other capital sources, including collaborations with other companies or other strategic transactions, but there is no assurance these plans will be completed successfully or at all. Our estimates and assumptions about the sufficiency of our current resources and future funding needs may prove to be wrong, and we could use our capital resources sooner than we currently expect.</w:t>
      </w:r>
    </w:p>
    <w:p>
      <w:pPr>
        <w:spacing w:after="0" w:line="199" w:lineRule="exact"/>
        <w:rPr>
          <w:sz w:val="20"/>
          <w:szCs w:val="20"/>
          <w:color w:val="auto"/>
        </w:rPr>
      </w:pPr>
    </w:p>
    <w:p>
      <w:pPr>
        <w:ind w:right="120" w:firstLine="646"/>
        <w:spacing w:after="0" w:line="257" w:lineRule="auto"/>
        <w:rPr>
          <w:sz w:val="20"/>
          <w:szCs w:val="20"/>
          <w:color w:val="auto"/>
        </w:rPr>
      </w:pPr>
      <w:r>
        <w:rPr>
          <w:rFonts w:ascii="Times New Roman" w:cs="Times New Roman" w:eastAsia="Times New Roman" w:hAnsi="Times New Roman"/>
          <w:sz w:val="18"/>
          <w:szCs w:val="18"/>
          <w:color w:val="auto"/>
        </w:rPr>
        <w:t>Our independent auditor also included in its audit report, which is part of this Annual Report, a going concern opinion raising substantial doubt about our ability to continue as a going concern. This substantial doubt as to our ability to continue as a going concern may adversely impact our ability to obtain any additional financing, and we may need to continue our business operations and may materially and adversely affect our ability to enter into contractual relations with third parties. Uncertainty about our ability to continue as a going concern could materially and adversely affect our liquidity, financial condition and business prospects.</w:t>
      </w:r>
    </w:p>
    <w:p>
      <w:pPr>
        <w:spacing w:after="0" w:line="181" w:lineRule="exact"/>
        <w:rPr>
          <w:sz w:val="20"/>
          <w:szCs w:val="20"/>
          <w:color w:val="auto"/>
        </w:rPr>
      </w:pPr>
    </w:p>
    <w:p>
      <w:pPr>
        <w:ind w:right="2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which could have a material adverse effect on our stock price.</w:t>
      </w:r>
    </w:p>
    <w:p>
      <w:pPr>
        <w:spacing w:after="0" w:line="159" w:lineRule="exact"/>
        <w:rPr>
          <w:sz w:val="20"/>
          <w:szCs w:val="20"/>
          <w:color w:val="auto"/>
        </w:rPr>
      </w:pPr>
    </w:p>
    <w:p>
      <w:pPr>
        <w:ind w:right="380" w:firstLine="646"/>
        <w:spacing w:after="0" w:line="265" w:lineRule="auto"/>
        <w:rPr>
          <w:sz w:val="20"/>
          <w:szCs w:val="20"/>
          <w:color w:val="auto"/>
        </w:rPr>
      </w:pPr>
      <w:r>
        <w:rPr>
          <w:rFonts w:ascii="Times New Roman" w:cs="Times New Roman" w:eastAsia="Times New Roman" w:hAnsi="Times New Roman"/>
          <w:sz w:val="18"/>
          <w:szCs w:val="18"/>
          <w:color w:val="auto"/>
        </w:rPr>
        <w:t>Section 404 of the Sarbanes-Oxley Act and the related rules and regulations of the SEC require annual management assessments of the effectiveness of our internal control over financial reporting. Effective internal controls over financial reporting are necessary for us to provide reliable financial reports and, together with adequate disclosure controls and procedures, are designed to prevent fraud.</w:t>
      </w:r>
    </w:p>
    <w:p>
      <w:pPr>
        <w:spacing w:after="0" w:line="176" w:lineRule="exact"/>
        <w:rPr>
          <w:sz w:val="20"/>
          <w:szCs w:val="20"/>
          <w:color w:val="auto"/>
        </w:rPr>
      </w:pPr>
    </w:p>
    <w:p>
      <w:pPr>
        <w:ind w:right="60" w:firstLine="646"/>
        <w:spacing w:after="0" w:line="260" w:lineRule="auto"/>
        <w:rPr>
          <w:sz w:val="20"/>
          <w:szCs w:val="20"/>
          <w:color w:val="auto"/>
        </w:rPr>
      </w:pPr>
      <w:r>
        <w:rPr>
          <w:rFonts w:ascii="Times New Roman" w:cs="Times New Roman" w:eastAsia="Times New Roman" w:hAnsi="Times New Roman"/>
          <w:sz w:val="18"/>
          <w:szCs w:val="18"/>
          <w:color w:val="auto"/>
        </w:rPr>
        <w:t>Ineffective internal controls could also cause investors to lose confidence in our reported financial information, which could have a negative effect on the trading price of our common stock. Our internal controls over financial reporting may not prevent or detect all misstatements because of inherent limitations. Additionally, projections of any evaluation of effectiveness to future periods are subject to the risk that controls may become inadequate because of changes in conditions or deterioration in the degree of compliance with our policies and procedures.</w:t>
      </w:r>
    </w:p>
    <w:p>
      <w:pPr>
        <w:spacing w:after="0" w:line="181" w:lineRule="exact"/>
        <w:rPr>
          <w:sz w:val="20"/>
          <w:szCs w:val="20"/>
          <w:color w:val="auto"/>
        </w:rPr>
      </w:pPr>
    </w:p>
    <w:p>
      <w:pPr>
        <w:ind w:right="20" w:firstLine="646"/>
        <w:spacing w:after="0" w:line="252" w:lineRule="auto"/>
        <w:rPr>
          <w:sz w:val="20"/>
          <w:szCs w:val="20"/>
          <w:color w:val="auto"/>
        </w:rPr>
      </w:pPr>
      <w:r>
        <w:rPr>
          <w:rFonts w:ascii="Times New Roman" w:cs="Times New Roman" w:eastAsia="Times New Roman" w:hAnsi="Times New Roman"/>
          <w:sz w:val="18"/>
          <w:szCs w:val="18"/>
          <w:color w:val="auto"/>
        </w:rPr>
        <w:t>Any failure to design and implement an effective system of internal controls may reveal deficiencies in our internal controls that are deemed to be material weaknesses. A material weakness is defined as a deficiency, or a combination of deficiencies, in internal control over financial reporting, such that there is a reasonable possibility that a material misstatement of our annual or interim financial statements will not be prevented or detected on a timely basis. Management has concluded that we did not maintain effective disclosure controls and procedures due to the material weakness in internal control over financial reporting which existed as of June 30, 2024, relating to the documentation of accounting policies and procedures, particularly relating to the correct application of complex accounting measures and segregation of duties. The measures that we are undertaking to remediate the material weakness in internal control over financial reporting have and will include: (i) hiring qualified internal control personnel or consultants to manage the implementation of internal control policies, procedures and improvement of the internal audit function, as applicable; (ii) developing and implementing written policies and procedures for accounting and financial reporting that meet the standards applied to public companies listed in the United States; and (iii) conducting internal control training to management, key operations personnel and the accounting department, so that management and relevant personnel understand the requirements and elements of internal control over financial reporting mandated by the U.S. securities laws.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44" w:name="page45"/>
    <w:bookmarkEnd w:id="44"/>
    <w:p>
      <w:pPr>
        <w:ind w:right="100" w:firstLine="646"/>
        <w:spacing w:after="0" w:line="311" w:lineRule="auto"/>
        <w:rPr>
          <w:sz w:val="20"/>
          <w:szCs w:val="20"/>
          <w:color w:val="auto"/>
        </w:rPr>
      </w:pPr>
      <w:r>
        <w:rPr>
          <w:rFonts w:ascii="Times New Roman" w:cs="Times New Roman" w:eastAsia="Times New Roman" w:hAnsi="Times New Roman"/>
          <w:sz w:val="17"/>
          <w:szCs w:val="17"/>
          <w:color w:val="auto"/>
        </w:rPr>
        <w:t>This material weakness will not be considered remediated until we have completed implementing the necessary additional applicable controls and operate with these controls for a sufficient period of time to allow management and our auditors to conclude that these controls are operating effectively.</w:t>
      </w:r>
    </w:p>
    <w:p>
      <w:pPr>
        <w:spacing w:after="0" w:line="140" w:lineRule="exact"/>
        <w:rPr>
          <w:sz w:val="20"/>
          <w:szCs w:val="20"/>
          <w:color w:val="auto"/>
        </w:rPr>
      </w:pPr>
    </w:p>
    <w:p>
      <w:pPr>
        <w:ind w:right="40" w:firstLine="646"/>
        <w:spacing w:after="0" w:line="260" w:lineRule="auto"/>
        <w:rPr>
          <w:sz w:val="20"/>
          <w:szCs w:val="20"/>
          <w:color w:val="auto"/>
        </w:rPr>
      </w:pPr>
      <w:r>
        <w:rPr>
          <w:rFonts w:ascii="Times New Roman" w:cs="Times New Roman" w:eastAsia="Times New Roman" w:hAnsi="Times New Roman"/>
          <w:sz w:val="18"/>
          <w:szCs w:val="18"/>
          <w:color w:val="auto"/>
        </w:rPr>
        <w:t>While we believe we have made progress in accordance with our remediation plan, we cannot determine when our remediation plan will be fully completed, and we cannot provide any assurance that these remediation efforts will be successful or that our internal control over financial reporting will be effective as a result of these efforts. If we cannot favorably assess the effectiveness of our internal control over financial reporting, investor confidence in the reliability of our financial reports may be adversely affected, which could have a material adverse effect on our stock price.</w:t>
      </w:r>
    </w:p>
    <w:p>
      <w:pPr>
        <w:spacing w:after="0" w:line="177" w:lineRule="exact"/>
        <w:rPr>
          <w:sz w:val="20"/>
          <w:szCs w:val="20"/>
          <w:color w:val="auto"/>
        </w:rPr>
      </w:pPr>
    </w:p>
    <w:p>
      <w:pPr>
        <w:ind w:right="2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have certain obligations pursuant to our securities purchase agreement and secured convertible debentures issued or to be issued thereunder, and our failure to comply with these obligations could have a material adverse effect on our business, financial condition or results of operations.</w:t>
      </w:r>
    </w:p>
    <w:p>
      <w:pPr>
        <w:spacing w:after="0" w:line="159" w:lineRule="exact"/>
        <w:rPr>
          <w:sz w:val="20"/>
          <w:szCs w:val="20"/>
          <w:color w:val="auto"/>
        </w:rPr>
      </w:pPr>
    </w:p>
    <w:p>
      <w:pPr>
        <w:ind w:firstLine="646"/>
        <w:spacing w:after="0" w:line="252" w:lineRule="auto"/>
        <w:rPr>
          <w:sz w:val="20"/>
          <w:szCs w:val="20"/>
          <w:color w:val="auto"/>
        </w:rPr>
      </w:pPr>
      <w:r>
        <w:rPr>
          <w:rFonts w:ascii="Times New Roman" w:cs="Times New Roman" w:eastAsia="Times New Roman" w:hAnsi="Times New Roman"/>
          <w:sz w:val="18"/>
          <w:szCs w:val="18"/>
          <w:color w:val="auto"/>
        </w:rPr>
        <w:t>On September 6, 2024, we entered into the September 2024 Purchase Agreement, pursuant to which we will issue secured convertible debentures in an aggregate principal amount of up to US$10 million at an aggregate purchase price of up to US$9 million, divided into three separate tranches that are each subject to closing conditions, with a 10% original issue discount (the “September 2024 Debentures”). This debt arrangement limits our ability to incur debt, merge, or declare dividends. The September 2024 Debentures are secured by substantially all of our assets. Events of default under these arrangements could include, but are not limited to, a failure to make timely payments, material breach of representations, our failure to comply with our obligation to convert convertible debentures, our failure to perform or observe, and in certain instances, cure, certain covenants, including, but not limited to, covenants requiring us to maintain the listing of shares of our common stock on a trading market, including The Nasdaq Global Market. In the event of a default, a holder of the September 2024 Debentures may be entitled to acceleration of the debt or other remedies as described in the September 2024 Purchase Agreement. Any default could materially and adversely impact our business, results of operations and financial condition, as well as increase our need to raise additional capital, cause us to cease our operations entirely and may result in the holders of our common stock not receiving any value for their investment.</w:t>
      </w:r>
    </w:p>
    <w:p>
      <w:pPr>
        <w:spacing w:after="0" w:line="195" w:lineRule="exact"/>
        <w:rPr>
          <w:sz w:val="20"/>
          <w:szCs w:val="20"/>
          <w:color w:val="auto"/>
        </w:rPr>
      </w:pPr>
    </w:p>
    <w:p>
      <w:pPr>
        <w:ind w:right="500" w:firstLine="646"/>
        <w:spacing w:after="0" w:line="281" w:lineRule="auto"/>
        <w:rPr>
          <w:sz w:val="20"/>
          <w:szCs w:val="20"/>
          <w:color w:val="auto"/>
        </w:rPr>
      </w:pPr>
      <w:r>
        <w:rPr>
          <w:rFonts w:ascii="Times New Roman" w:cs="Times New Roman" w:eastAsia="Times New Roman" w:hAnsi="Times New Roman"/>
          <w:sz w:val="18"/>
          <w:szCs w:val="18"/>
          <w:color w:val="auto"/>
        </w:rPr>
        <w:t>A failure to comply with these obligations, triggering events of default, or other breach could have a material adverse effect on our business, financial condition, prospects or results of our operations.</w:t>
      </w:r>
    </w:p>
    <w:p>
      <w:pPr>
        <w:spacing w:after="0" w:line="158"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Regulatory Approval of Our Drug Candidates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obtain the necessary regulatory approvals, we will be unable to commercialize our drug candidates</w:t>
      </w:r>
      <w:r>
        <w:rPr>
          <w:rFonts w:ascii="Times New Roman" w:cs="Times New Roman" w:eastAsia="Times New Roman" w:hAnsi="Times New Roman"/>
          <w:sz w:val="18"/>
          <w:szCs w:val="18"/>
          <w:b w:val="1"/>
          <w:bCs w:val="1"/>
          <w:color w:val="auto"/>
        </w:rPr>
        <w:t>.</w:t>
      </w:r>
    </w:p>
    <w:p>
      <w:pPr>
        <w:spacing w:after="0" w:line="228" w:lineRule="exact"/>
        <w:rPr>
          <w:sz w:val="20"/>
          <w:szCs w:val="20"/>
          <w:color w:val="auto"/>
        </w:rPr>
      </w:pPr>
    </w:p>
    <w:p>
      <w:pPr>
        <w:ind w:right="20" w:firstLine="646"/>
        <w:spacing w:after="0" w:line="252" w:lineRule="auto"/>
        <w:rPr>
          <w:sz w:val="20"/>
          <w:szCs w:val="20"/>
          <w:color w:val="auto"/>
        </w:rPr>
      </w:pPr>
      <w:r>
        <w:rPr>
          <w:rFonts w:ascii="Times New Roman" w:cs="Times New Roman" w:eastAsia="Times New Roman" w:hAnsi="Times New Roman"/>
          <w:sz w:val="18"/>
          <w:szCs w:val="18"/>
          <w:color w:val="auto"/>
        </w:rPr>
        <w:t>We are not permitted to market our drug candidates in the United States until we receive FDA approval of an NDA, or in any other jurisdiction until we receive the requisite approval from the respective regulatory authorities in such jurisdictions. The time required to obtain FDA and other approvals is unpredictable but typically takes many years following the commencement of clinical trials, depending upon the type, complexity and novelty of the drug candidate. The standards that the FDA and its international counterparts use when regulating companies such as ours are not always applied predictably or uniformly and can change. Any analysis we perform of data from chemistry, manufacturing and controls,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It is impossible to predict whether legislative changes will be enacted, or whether FDA or international regulations, guidance or interpretations will be changed, or what the impact of such changes, if any, may be. Any delay or failure in obtaining required approvals could adversely affect our ability to generate revenues from the particular drug candidate for which we are seeking approval.</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45" w:name="page46"/>
    <w:bookmarkEnd w:id="45"/>
    <w:p>
      <w:pPr>
        <w:ind w:right="20" w:firstLine="646"/>
        <w:spacing w:after="0" w:line="253" w:lineRule="auto"/>
        <w:rPr>
          <w:sz w:val="20"/>
          <w:szCs w:val="20"/>
          <w:color w:val="auto"/>
        </w:rPr>
      </w:pPr>
      <w:r>
        <w:rPr>
          <w:rFonts w:ascii="Times New Roman" w:cs="Times New Roman" w:eastAsia="Times New Roman" w:hAnsi="Times New Roman"/>
          <w:sz w:val="18"/>
          <w:szCs w:val="18"/>
          <w:color w:val="auto"/>
        </w:rPr>
        <w:t>Furthermore, obtaining and maintaining regulatory approval of our drug candidates in one jurisdiction does not guarantee that we will be able to obtain or maintain regulatory approval in any other jurisdiction, while a failure or delay in obtaining regulatory approval in one jurisdiction may have a negative effect on the regulatory approval process in others. For example, even if the FDA grants marketing approval of a drug candidate, similar international regulatory authorities must also approve the manufacturing, marketing and promotion of the drug candidate in those countries. Approval and licensure procedures vary among jurisdictions and can involve requirements and administrative review periods different from, and greater than, those in the United States, including additional nonclinical studies or clinical trials as clinical trials conducted in one jurisdiction may not be accepted by regulatory authorities in other jurisdictions. In many jurisdictions outside the United States, a drug candidate must be approved for reimbursement before it can be approved for sale in that jurisdiction. In some cases, the price that we intend to charge for drug candidates is also subject to approval. If we fail to comply with the regulatory requirements in international markets and/or receive applicable marketing approvals, our target market will be reduced and our ability to realize the full target market potential of our drug candidates will be harmed.</w:t>
      </w:r>
    </w:p>
    <w:p>
      <w:pPr>
        <w:spacing w:after="0" w:line="184"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uncertain outcomes. The results of earlier preclinical studies or trials may not be predictive of the results of later clinical trials. Clinical trials are difficult to design and implement, and any of our clinical trials could produce unsuccessful results or fail at any stage in the process.</w:t>
      </w:r>
    </w:p>
    <w:p>
      <w:pPr>
        <w:spacing w:after="0" w:line="175" w:lineRule="exact"/>
        <w:rPr>
          <w:sz w:val="20"/>
          <w:szCs w:val="20"/>
          <w:color w:val="auto"/>
        </w:rPr>
      </w:pPr>
    </w:p>
    <w:p>
      <w:pPr>
        <w:ind w:right="20" w:firstLine="646"/>
        <w:spacing w:after="0" w:line="256" w:lineRule="auto"/>
        <w:rPr>
          <w:sz w:val="20"/>
          <w:szCs w:val="20"/>
          <w:color w:val="auto"/>
        </w:rPr>
      </w:pPr>
      <w:r>
        <w:rPr>
          <w:rFonts w:ascii="Times New Roman" w:cs="Times New Roman" w:eastAsia="Times New Roman" w:hAnsi="Times New Roman"/>
          <w:sz w:val="18"/>
          <w:szCs w:val="18"/>
          <w:color w:val="auto"/>
        </w:rPr>
        <w:t>Clinical trials conducted on humans are expensive and can take many years to complete, and outcomes are inherently uncertain. Failure can occur at any time during the process. Additionally, any positive results of preclinical studies and early clinical trials of a drug candidate may not be predictive of the results of later stage clinical trials, such that drug candidates may reach later stages of clinical trials and fail to show the desired safety and efficacy traits despite having shown indications of those traits in preclinical studies and early-stage clinical trials. A number of companies in the pharmaceutical industry have suffered significant setbacks in advanced clinical trials due to lack of efficacy or adverse safety profiles, notwithstanding promising results in earlier phases of the trials. Therefore, the results of any ongoing or future clinical trials we conduct may not be successful.</w:t>
      </w:r>
    </w:p>
    <w:p>
      <w:pPr>
        <w:spacing w:after="0" w:line="184" w:lineRule="exact"/>
        <w:rPr>
          <w:sz w:val="20"/>
          <w:szCs w:val="20"/>
          <w:color w:val="auto"/>
        </w:rPr>
      </w:pPr>
    </w:p>
    <w:p>
      <w:pPr>
        <w:ind w:firstLine="646"/>
        <w:spacing w:after="0" w:line="281" w:lineRule="auto"/>
        <w:rPr>
          <w:sz w:val="20"/>
          <w:szCs w:val="20"/>
          <w:color w:val="auto"/>
        </w:rPr>
      </w:pPr>
      <w:r>
        <w:rPr>
          <w:rFonts w:ascii="Times New Roman" w:cs="Times New Roman" w:eastAsia="Times New Roman" w:hAnsi="Times New Roman"/>
          <w:sz w:val="18"/>
          <w:szCs w:val="18"/>
          <w:color w:val="auto"/>
        </w:rPr>
        <w:t>Our ongoing or planned clinical trials may also be delayed, suspended or prematurely terminated because costs are greater than we anticipate or for a variety of other reasons, such as:</w:t>
      </w:r>
    </w:p>
    <w:p>
      <w:pPr>
        <w:spacing w:after="0" w:line="162" w:lineRule="exact"/>
        <w:rPr>
          <w:sz w:val="20"/>
          <w:szCs w:val="20"/>
          <w:color w:val="auto"/>
        </w:rPr>
      </w:pPr>
    </w:p>
    <w:p>
      <w:pPr>
        <w:ind w:left="980" w:right="300" w:hanging="326"/>
        <w:spacing w:after="0" w:line="281"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reaching agreement with the FDA or a comparable international regulatory authority on a trial design that we are able to execute;</w:t>
      </w:r>
    </w:p>
    <w:p>
      <w:pPr>
        <w:spacing w:after="0" w:line="161" w:lineRule="exact"/>
        <w:rPr>
          <w:rFonts w:ascii="Times New Roman" w:cs="Times New Roman" w:eastAsia="Times New Roman" w:hAnsi="Times New Roman"/>
          <w:sz w:val="18"/>
          <w:szCs w:val="18"/>
          <w:color w:val="auto"/>
        </w:rPr>
      </w:pPr>
    </w:p>
    <w:p>
      <w:pPr>
        <w:ind w:left="980" w:right="120" w:hanging="326"/>
        <w:spacing w:after="0" w:line="311" w:lineRule="auto"/>
        <w:tabs>
          <w:tab w:leader="none" w:pos="9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 or failure in obtaining authorization to commence a trial, including approval from the appropriate IRB to conduct testing of a candidate on human subjects, or inability to comply with conditions imposed by a regulatory authority regarding the scope or design of a clinical trial;</w:t>
      </w:r>
    </w:p>
    <w:p>
      <w:pPr>
        <w:spacing w:after="0" w:line="139" w:lineRule="exact"/>
        <w:rPr>
          <w:rFonts w:ascii="Times New Roman" w:cs="Times New Roman" w:eastAsia="Times New Roman" w:hAnsi="Times New Roman"/>
          <w:sz w:val="17"/>
          <w:szCs w:val="17"/>
          <w:color w:val="auto"/>
        </w:rPr>
      </w:pPr>
    </w:p>
    <w:p>
      <w:pPr>
        <w:ind w:left="980" w:right="160" w:hanging="326"/>
        <w:spacing w:after="0" w:line="311" w:lineRule="auto"/>
        <w:tabs>
          <w:tab w:leader="none" w:pos="9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 in reaching, or failure to reach, agreement on acceptable terms with prospective contract research organizations (“CROs”), and clinical trial sites, the terms of which can be subject to extensive negotiation and may vary significantly among different CROs and trial sites;</w:t>
      </w:r>
    </w:p>
    <w:p>
      <w:pPr>
        <w:spacing w:after="0" w:line="139" w:lineRule="exact"/>
        <w:rPr>
          <w:rFonts w:ascii="Times New Roman" w:cs="Times New Roman" w:eastAsia="Times New Roman" w:hAnsi="Times New Roman"/>
          <w:sz w:val="17"/>
          <w:szCs w:val="17"/>
          <w:color w:val="auto"/>
        </w:rPr>
      </w:pPr>
    </w:p>
    <w:p>
      <w:pPr>
        <w:ind w:left="980" w:right="380" w:hanging="326"/>
        <w:spacing w:after="0" w:line="281"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delay or failure in identifying and maintaining a sufficient number of trial sites, many of which may already be engaged in other clinical programs;</w:t>
      </w:r>
    </w:p>
    <w:p>
      <w:pPr>
        <w:spacing w:after="0" w:line="161"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recruiting and enrolling suitable volunteers or patients to participate in a trial;</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failure in developing and validating companion diagnostics, if they are deemed necessary, on a timely basis;</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trial participants to complete a trial or return for post-treatment follow-up;</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monitor trial participants adequately during or after treatment;</w:t>
      </w:r>
    </w:p>
    <w:p>
      <w:pPr>
        <w:spacing w:after="0" w:line="223" w:lineRule="exact"/>
        <w:rPr>
          <w:rFonts w:ascii="Times New Roman" w:cs="Times New Roman" w:eastAsia="Times New Roman" w:hAnsi="Times New Roman"/>
          <w:sz w:val="18"/>
          <w:szCs w:val="18"/>
          <w:color w:val="auto"/>
        </w:rPr>
      </w:pPr>
    </w:p>
    <w:p>
      <w:pPr>
        <w:ind w:left="980" w:right="640" w:hanging="326"/>
        <w:spacing w:after="0" w:line="281"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and investigators deviating from trial protocols, failing to conduct the trial in accordance with regulatory requirements or dropping out of a trial;</w:t>
      </w:r>
    </w:p>
    <w:p>
      <w:pPr>
        <w:spacing w:after="0" w:line="161" w:lineRule="exact"/>
        <w:rPr>
          <w:rFonts w:ascii="Times New Roman" w:cs="Times New Roman" w:eastAsia="Times New Roman" w:hAnsi="Times New Roman"/>
          <w:sz w:val="18"/>
          <w:szCs w:val="18"/>
          <w:color w:val="auto"/>
        </w:rPr>
      </w:pPr>
    </w:p>
    <w:p>
      <w:pPr>
        <w:ind w:left="980" w:right="840" w:hanging="326"/>
        <w:spacing w:after="0" w:line="281"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initiate or delay of or inability to complete a clinical trial as a result of a clinical hold imposed by the FDA or comparable international regulatory authority due to observed safety findings or other reasons;</w:t>
      </w:r>
    </w:p>
    <w:p>
      <w:pPr>
        <w:spacing w:after="0" w:line="161" w:lineRule="exact"/>
        <w:rPr>
          <w:rFonts w:ascii="Times New Roman" w:cs="Times New Roman" w:eastAsia="Times New Roman" w:hAnsi="Times New Roman"/>
          <w:sz w:val="18"/>
          <w:szCs w:val="18"/>
          <w:color w:val="auto"/>
        </w:rPr>
      </w:pPr>
    </w:p>
    <w:p>
      <w:pPr>
        <w:ind w:left="980" w:right="320" w:hanging="326"/>
        <w:spacing w:after="0" w:line="281"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or inconclusive results in our clinical trials, and our decision to or regulators’ requirement that we conduct additional non-clinical studies, clinical trials or that we abandon one or more of our product development programs; or</w:t>
      </w:r>
    </w:p>
    <w:p>
      <w:pPr>
        <w:spacing w:after="0" w:line="161"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manufacture sufficient quantities of a drug candidate of acceptable quality for use in clinical trials.</w:t>
      </w:r>
    </w:p>
    <w:p>
      <w:pPr>
        <w:spacing w:after="0" w:line="224" w:lineRule="exact"/>
        <w:rPr>
          <w:sz w:val="20"/>
          <w:szCs w:val="20"/>
          <w:color w:val="auto"/>
        </w:rPr>
      </w:pPr>
    </w:p>
    <w:p>
      <w:pPr>
        <w:ind w:right="20" w:firstLine="646"/>
        <w:spacing w:after="0" w:line="256" w:lineRule="auto"/>
        <w:rPr>
          <w:sz w:val="20"/>
          <w:szCs w:val="20"/>
          <w:color w:val="auto"/>
        </w:rPr>
      </w:pPr>
      <w:r>
        <w:rPr>
          <w:rFonts w:ascii="Times New Roman" w:cs="Times New Roman" w:eastAsia="Times New Roman" w:hAnsi="Times New Roman"/>
          <w:sz w:val="18"/>
          <w:szCs w:val="18"/>
          <w:color w:val="auto"/>
        </w:rPr>
        <w:t>We rely and plan to continue to rely on third-party CROs, contract manufacturing organizations (“CMOs”) and clinical trial sites to ensure the proper and timely conduct of our clinical trials. Although we have and expect that we will continue to have agreements in place with CROs and CMOs governing their contracted activities and conduct, we have limited influence over their actual performance. As a result, we ultimately do not and will not have control over a CRO’s or CMO’s compliance with the terms of any agreement it may have with us, its compliance with applicable regulatory requirements or its adherence to agreed-upon time schedules and deadlines, and a future CRO’s or CMO’s failure to perform those obligations could subject any of our clinical trials to delays or failure.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46" w:name="page47"/>
    <w:bookmarkEnd w:id="46"/>
    <w:p>
      <w:pPr>
        <w:jc w:val="both"/>
        <w:ind w:right="180" w:firstLine="646"/>
        <w:spacing w:after="0" w:line="256" w:lineRule="auto"/>
        <w:rPr>
          <w:sz w:val="20"/>
          <w:szCs w:val="20"/>
          <w:color w:val="auto"/>
        </w:rPr>
      </w:pPr>
      <w:r>
        <w:rPr>
          <w:rFonts w:ascii="Times New Roman" w:cs="Times New Roman" w:eastAsia="Times New Roman" w:hAnsi="Times New Roman"/>
          <w:sz w:val="18"/>
          <w:szCs w:val="18"/>
          <w:color w:val="auto"/>
        </w:rPr>
        <w:t>Further, we may also encounter delays if a clinical trial is suspended or terminated by us, by any IRB or ethics committee, or by the FDA, EMA, MHRA, or other regulatory authority. A suspension or termination may occur due to a number of factors, including failure to conduct the clinical trial in accordance with regulatory requirements, inspection of the clinical trial operations or trial site by the FDA, EMA, MHRA or other regulatory authorities, exposing participants to health risks caused by unforeseen safety issues or adverse side effects, development of previously unseen safety issues, failure to demonstrate a benefit from using a drug candidate or changes in governmental regulations or administrative actions. We cannot predict with any certainty the schedule for commencement or completion of any currently ongoing, planned or future clinical trials.</w:t>
      </w:r>
    </w:p>
    <w:p>
      <w:pPr>
        <w:spacing w:after="0" w:line="184" w:lineRule="exact"/>
        <w:rPr>
          <w:sz w:val="20"/>
          <w:szCs w:val="20"/>
          <w:color w:val="auto"/>
        </w:rPr>
      </w:pPr>
    </w:p>
    <w:p>
      <w:pPr>
        <w:ind w:right="240" w:firstLine="646"/>
        <w:spacing w:after="0" w:line="281" w:lineRule="auto"/>
        <w:rPr>
          <w:sz w:val="20"/>
          <w:szCs w:val="20"/>
          <w:color w:val="auto"/>
        </w:rPr>
      </w:pPr>
      <w:r>
        <w:rPr>
          <w:rFonts w:ascii="Times New Roman" w:cs="Times New Roman" w:eastAsia="Times New Roman" w:hAnsi="Times New Roman"/>
          <w:sz w:val="18"/>
          <w:szCs w:val="18"/>
          <w:color w:val="auto"/>
        </w:rPr>
        <w:t>Many of the factors that cause, or lead to, a delay in the commencement or completion of clinical trials may also ultimately lead to the denial of marketing approval for our drug candidates.</w:t>
      </w:r>
    </w:p>
    <w:p>
      <w:pPr>
        <w:spacing w:after="0" w:line="162" w:lineRule="exact"/>
        <w:rPr>
          <w:sz w:val="20"/>
          <w:szCs w:val="20"/>
          <w:color w:val="auto"/>
        </w:rPr>
      </w:pPr>
    </w:p>
    <w:p>
      <w:pPr>
        <w:ind w:firstLine="646"/>
        <w:spacing w:after="0" w:line="257" w:lineRule="auto"/>
        <w:rPr>
          <w:sz w:val="20"/>
          <w:szCs w:val="20"/>
          <w:color w:val="auto"/>
        </w:rPr>
      </w:pPr>
      <w:r>
        <w:rPr>
          <w:rFonts w:ascii="Times New Roman" w:cs="Times New Roman" w:eastAsia="Times New Roman" w:hAnsi="Times New Roman"/>
          <w:sz w:val="18"/>
          <w:szCs w:val="18"/>
          <w:color w:val="auto"/>
        </w:rPr>
        <w:t>If we experience delays in the commencement or completion of, or suspension or termination of, any clinical trial for our drug candidates, the commercial prospects of the drug candidate could be harmed, and our ability to generate product revenues from the drug candidate may be delayed or eliminated. In addition, any delays in completing our clinical trials will increase our costs, slow down our drug candidate development and approval process and jeopardize regulatory approval of our drug candidates and our ability to commence sales and generate revenues. The occurrence of any of these events could harm our business, financial condition, results of operations and prospects.</w:t>
      </w:r>
    </w:p>
    <w:p>
      <w:pPr>
        <w:spacing w:after="0" w:line="181" w:lineRule="exact"/>
        <w:rPr>
          <w:sz w:val="20"/>
          <w:szCs w:val="20"/>
          <w:color w:val="auto"/>
        </w:rPr>
      </w:pPr>
    </w:p>
    <w:p>
      <w:pPr>
        <w:ind w:right="8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may find it difficult to enroll patients in our clinical trials and patients could discontinue their participation in our clinical trials, which could delay or prevent our current and any future clinical trials of our drug candidates and make those trials more expensive to undertake.</w:t>
      </w:r>
    </w:p>
    <w:p>
      <w:pPr>
        <w:spacing w:after="0" w:line="159" w:lineRule="exact"/>
        <w:rPr>
          <w:sz w:val="20"/>
          <w:szCs w:val="20"/>
          <w:color w:val="auto"/>
        </w:rPr>
      </w:pPr>
    </w:p>
    <w:p>
      <w:pPr>
        <w:ind w:right="20" w:firstLine="646"/>
        <w:spacing w:after="0" w:line="260" w:lineRule="auto"/>
        <w:rPr>
          <w:sz w:val="20"/>
          <w:szCs w:val="20"/>
          <w:color w:val="auto"/>
        </w:rPr>
      </w:pPr>
      <w:r>
        <w:rPr>
          <w:rFonts w:ascii="Times New Roman" w:cs="Times New Roman" w:eastAsia="Times New Roman" w:hAnsi="Times New Roman"/>
          <w:sz w:val="18"/>
          <w:szCs w:val="18"/>
          <w:color w:val="auto"/>
        </w:rPr>
        <w:t>The timely completion of clinical trials in accordance with their protocols depends on, among other things, our ability to enroll a sufficient number of research participants who remain in the trial until its conclusion. We may encounter delays in enrolling, or be unable to enroll, a sufficient number of individuals to complete any of our clinical trials, and even once enrolled we may be unable to retain a sufficient number of participants to complete any of our trials. Subject enrollment and retention in clinical trials depends on many factors, including:</w:t>
      </w:r>
    </w:p>
    <w:p>
      <w:pPr>
        <w:spacing w:after="0" w:line="181" w:lineRule="exact"/>
        <w:rPr>
          <w:sz w:val="20"/>
          <w:szCs w:val="20"/>
          <w:color w:val="auto"/>
        </w:rPr>
      </w:pPr>
    </w:p>
    <w:p>
      <w:pPr>
        <w:ind w:left="980" w:hanging="32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defined in the protocol;</w:t>
      </w:r>
    </w:p>
    <w:p>
      <w:pPr>
        <w:spacing w:after="0" w:line="224"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required for analysis of the trial’s primary endpoints;</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trial protocol;</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of potential subjects to clinical sites;</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existing body of safety and efficacy data with respect to the drug candidate;</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clinicians’ and patients’ perceptions as to the potential advantages of the drug candidate being studied in relation to other available therapies;</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being conducted by other companies or institutions;</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participants enrolled in clinical trials will drop out of the trials before completion; and</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operational efficiency of trial sites, including sufficient staffing.</w:t>
      </w:r>
    </w:p>
    <w:p>
      <w:pPr>
        <w:spacing w:after="0" w:line="224" w:lineRule="exact"/>
        <w:rPr>
          <w:sz w:val="20"/>
          <w:szCs w:val="20"/>
          <w:color w:val="auto"/>
        </w:rPr>
      </w:pPr>
    </w:p>
    <w:p>
      <w:pPr>
        <w:ind w:right="40" w:firstLine="646"/>
        <w:spacing w:after="0" w:line="253" w:lineRule="auto"/>
        <w:rPr>
          <w:sz w:val="20"/>
          <w:szCs w:val="20"/>
          <w:color w:val="auto"/>
        </w:rPr>
      </w:pPr>
      <w:r>
        <w:rPr>
          <w:rFonts w:ascii="Times New Roman" w:cs="Times New Roman" w:eastAsia="Times New Roman" w:hAnsi="Times New Roman"/>
          <w:sz w:val="18"/>
          <w:szCs w:val="18"/>
          <w:color w:val="auto"/>
        </w:rPr>
        <w:t>In addition, the U.S. Congress recently amended the FDCA to require sponsors of a Phase 3 clinical trial, or other “pivotal study” of a new drug or biologic to support marketing authorization, to design and submit a diversity action plan for such clinical trial. The action plan must describe appropriate diversity goals for enrollment, as well as a rationale for the goals and a description of how the sponsor will meet them. Although none of our drug candidates has reached Phase 3 of clinical development, we or our licensing partners must submit a diversity action plan to the FDA by the time a Phase 3 trial, or pivotal study, protocol is submitted to the agency for review, unless we or our licensing partners are able to obtain a waiver for some or all of the requirements for a diversity action plan. It is unknown at this time how the diversity action plan may affect the planning and timing of any future Phase 3 trial for our drug candidates or what specific information FDA will expect in such plans. However, initiation of such trials may be delayed if the FDA objects to a proposed diversity action plans for any future Phase 3 trial of our drug candidates, and we or our licensing partners may experience difficulties recruiting a diverse population of patients in attempting to fulfill the requirements of any approved diversity action plan.</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47" w:name="page48"/>
    <w:bookmarkEnd w:id="47"/>
    <w:p>
      <w:pPr>
        <w:ind w:right="100" w:firstLine="646"/>
        <w:spacing w:after="0" w:line="265" w:lineRule="auto"/>
        <w:rPr>
          <w:sz w:val="20"/>
          <w:szCs w:val="20"/>
          <w:color w:val="auto"/>
        </w:rPr>
      </w:pPr>
      <w:r>
        <w:rPr>
          <w:rFonts w:ascii="Times New Roman" w:cs="Times New Roman" w:eastAsia="Times New Roman" w:hAnsi="Times New Roman"/>
          <w:sz w:val="18"/>
          <w:szCs w:val="18"/>
          <w:color w:val="auto"/>
        </w:rPr>
        <w:t>Furthermore, any negative results we may report in clinical trials may make it difficult or impossible to recruit and retain subjects in other clinical trials of that same drug candidate. Delays or failures in planned enrollment or retention of clinical trial subjects may result in increased costs or program delays, which could have a harmful effect on our ability to develop a drug candidate or could render further development impossible.</w:t>
      </w:r>
    </w:p>
    <w:p>
      <w:pPr>
        <w:spacing w:after="0" w:line="172" w:lineRule="exact"/>
        <w:rPr>
          <w:sz w:val="20"/>
          <w:szCs w:val="20"/>
          <w:color w:val="auto"/>
        </w:rPr>
      </w:pPr>
    </w:p>
    <w:p>
      <w:pPr>
        <w:ind w:right="2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The ongoing and future clinical trials of our drug candidates may not show sufficient safety and efficacy to obtain requisite regulatory approvals for commercial sale</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ind w:right="20" w:firstLine="646"/>
        <w:spacing w:after="0" w:line="252" w:lineRule="auto"/>
        <w:rPr>
          <w:sz w:val="20"/>
          <w:szCs w:val="20"/>
          <w:color w:val="auto"/>
        </w:rPr>
      </w:pPr>
      <w:r>
        <w:rPr>
          <w:rFonts w:ascii="Times New Roman" w:cs="Times New Roman" w:eastAsia="Times New Roman" w:hAnsi="Times New Roman"/>
          <w:sz w:val="18"/>
          <w:szCs w:val="18"/>
          <w:color w:val="auto"/>
        </w:rPr>
        <w:t>We currently have no products approved for sale and we cannot guarantee that we will ever have marketable products. Clinical failure can occur at any stage of clinical development. Clinical trials may produce negative or inconclusive results, and we or any future collaborators may decide, or regulators may require us, to conduct additional clinical trials or nonclinical studies. We will be required to demonstrate with substantial evidence through well-controlled clinical trials that our drug candidates are safe and effective for use in a diverse population before we can seek marketing approvals for their commercial sale in any jurisdiction. Phase 1 and Phase 2 clinical trials are not primarily designed to test the efficacy of a drug candidate, but rather to test safety and to understand the drug candidate’s side effects at various doses and schedules. Further, Phase 3 clinical trials may not show sufficient safety or efficacy to obtain regulatory approval for marketing. In addition, clinical results are frequently susceptible to varying interpretations that may delay, limit or prevent regulatory approvals. Negative or inconclusive results or adverse medical events during a clinical trial could require that the clinical trial be redone or terminated. The length of time necessary to complete clinical trials and to submit an application for marketing approval by applicable regulatory authorities may also vary significantly based on the type, complexity and novelty of the drug candidate involved, as well as other factors. If we suffer any significant delays, quality issues, setbacks or negative results in, or termination of, our clinical trials, we may be unable to continue the development of our drug candidates or generate revenue and our business may be severely harmed.</w:t>
      </w:r>
    </w:p>
    <w:p>
      <w:pPr>
        <w:spacing w:after="0" w:line="189"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drug candidates may cause undesirable side effects that could delay or prevent their marketing approval, limit their commercial potential, or result in significant negative consequences following marketing approval, if marketing approval is obtained.</w:t>
      </w:r>
    </w:p>
    <w:p>
      <w:pPr>
        <w:spacing w:after="0" w:line="159" w:lineRule="exact"/>
        <w:rPr>
          <w:sz w:val="20"/>
          <w:szCs w:val="20"/>
          <w:color w:val="auto"/>
        </w:rPr>
      </w:pPr>
    </w:p>
    <w:p>
      <w:pPr>
        <w:ind w:firstLine="646"/>
        <w:spacing w:after="0" w:line="256" w:lineRule="auto"/>
        <w:rPr>
          <w:sz w:val="20"/>
          <w:szCs w:val="20"/>
          <w:color w:val="auto"/>
        </w:rPr>
      </w:pPr>
      <w:r>
        <w:rPr>
          <w:rFonts w:ascii="Times New Roman" w:cs="Times New Roman" w:eastAsia="Times New Roman" w:hAnsi="Times New Roman"/>
          <w:sz w:val="18"/>
          <w:szCs w:val="18"/>
          <w:color w:val="auto"/>
        </w:rPr>
        <w:t>Undesirable side effects caused by our drug candidates could cause us or the FDA, EMA, MHRA or other regulatory authorities to interrupt, delay or halt our clinical trials and could result in a more restrictive label or the delay or denial of marketing approval by the FDA or other regulatory authorities of our drug candidates. In the event that our clinical trials produce undesirable side effects, our trials could be suspended or terminated and the FDA, EMA or MHRA or comparable international regulatory authorities could order us to cease further development of or deny approval of our drug candidates for any or all targeted indications. In addition to this, any drug-candidate-related side effects could affect patient recruitment or the ability of enrolled patients to complete the trial or result in potential product liability claims.</w:t>
      </w:r>
    </w:p>
    <w:p>
      <w:pPr>
        <w:spacing w:after="0" w:line="184" w:lineRule="exact"/>
        <w:rPr>
          <w:sz w:val="20"/>
          <w:szCs w:val="20"/>
          <w:color w:val="auto"/>
        </w:rPr>
      </w:pPr>
    </w:p>
    <w:p>
      <w:pPr>
        <w:ind w:right="100" w:firstLine="646"/>
        <w:spacing w:after="0" w:line="260" w:lineRule="auto"/>
        <w:rPr>
          <w:sz w:val="20"/>
          <w:szCs w:val="20"/>
          <w:color w:val="auto"/>
        </w:rPr>
      </w:pPr>
      <w:r>
        <w:rPr>
          <w:rFonts w:ascii="Times New Roman" w:cs="Times New Roman" w:eastAsia="Times New Roman" w:hAnsi="Times New Roman"/>
          <w:sz w:val="18"/>
          <w:szCs w:val="18"/>
          <w:color w:val="auto"/>
        </w:rPr>
        <w:t>Clinical trials by their nature utilize a sample of the potential patient population. With a limited number of patients, rare and severe side effects of our drug candidates may only be uncovered with a significantly larger number of patients exposed to the drug candidate. If our drug candidates receive marketing approval, and we or others identify undesirable side effects caused by these drug candidates (or any other similar products) after this approval, a number of potentially significant negative consequences could result, including:</w:t>
      </w:r>
    </w:p>
    <w:p>
      <w:pPr>
        <w:spacing w:after="0" w:line="181" w:lineRule="exact"/>
        <w:rPr>
          <w:sz w:val="20"/>
          <w:szCs w:val="20"/>
          <w:color w:val="auto"/>
        </w:rPr>
      </w:pPr>
    </w:p>
    <w:p>
      <w:pPr>
        <w:ind w:left="980" w:hanging="32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or limit their approval of our drug candidates;</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specific warnings or a contraindication;</w:t>
      </w:r>
    </w:p>
    <w:p>
      <w:pPr>
        <w:spacing w:after="0" w:line="223" w:lineRule="exact"/>
        <w:rPr>
          <w:rFonts w:ascii="Times New Roman" w:cs="Times New Roman" w:eastAsia="Times New Roman" w:hAnsi="Times New Roman"/>
          <w:sz w:val="18"/>
          <w:szCs w:val="18"/>
          <w:color w:val="auto"/>
        </w:rPr>
      </w:pPr>
    </w:p>
    <w:p>
      <w:pPr>
        <w:ind w:left="980" w:right="180" w:hanging="326"/>
        <w:spacing w:after="0" w:line="265"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 or we may be required to implement a REMS in the United States or a comparable risk mitigation plan in other jurisdictions to ensure that the benefits of the drug candidate outweigh the risks;</w:t>
      </w:r>
    </w:p>
    <w:p>
      <w:pPr>
        <w:spacing w:after="0" w:line="176"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drug candidates are distributed or administered, or change the labeling of the drug candidates;</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223" w:lineRule="exact"/>
        <w:rPr>
          <w:rFonts w:ascii="Times New Roman" w:cs="Times New Roman" w:eastAsia="Times New Roman" w:hAnsi="Times New Roman"/>
          <w:sz w:val="18"/>
          <w:szCs w:val="18"/>
          <w:color w:val="auto"/>
        </w:rPr>
      </w:pPr>
    </w:p>
    <w:p>
      <w:pPr>
        <w:ind w:left="980" w:right="20" w:hanging="326"/>
        <w:spacing w:after="0" w:line="281"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a comparable international regulatory authority may require us to conduct additional clinical trials or costly post-marketing testing and surveillance to monitor the safety and efficacy of the drug candidate;</w:t>
      </w:r>
    </w:p>
    <w:p>
      <w:pPr>
        <w:spacing w:after="0" w:line="161"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recall or withdraw drug candidates from the marketplace after they are approved;</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injury caused to individuals exposed to or taking our drug candidates; and</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48" w:name="page49"/>
    <w:bookmarkEnd w:id="48"/>
    <w:p>
      <w:pPr>
        <w:ind w:firstLine="646"/>
        <w:spacing w:after="0" w:line="265" w:lineRule="auto"/>
        <w:rPr>
          <w:sz w:val="20"/>
          <w:szCs w:val="20"/>
          <w:color w:val="auto"/>
        </w:rPr>
      </w:pPr>
      <w:r>
        <w:rPr>
          <w:rFonts w:ascii="Times New Roman" w:cs="Times New Roman" w:eastAsia="Times New Roman" w:hAnsi="Times New Roman"/>
          <w:sz w:val="18"/>
          <w:szCs w:val="18"/>
          <w:color w:val="auto"/>
        </w:rPr>
        <w:t>In addition, adverse side effects caused by any drugs that may be similar in nature to our drug candidates could delay or prevent regulatory approval of our drug candidates, limit the commercial profile of an approved label for our drug candidates, or result in significant negative consequences for our drug candidates following and assuming marketing authorization.</w:t>
      </w:r>
    </w:p>
    <w:p>
      <w:pPr>
        <w:spacing w:after="0" w:line="176" w:lineRule="exact"/>
        <w:rPr>
          <w:sz w:val="20"/>
          <w:szCs w:val="20"/>
          <w:color w:val="auto"/>
        </w:rPr>
      </w:pPr>
    </w:p>
    <w:p>
      <w:pPr>
        <w:ind w:right="300" w:firstLine="646"/>
        <w:spacing w:after="0" w:line="265" w:lineRule="auto"/>
        <w:rPr>
          <w:sz w:val="20"/>
          <w:szCs w:val="20"/>
          <w:color w:val="auto"/>
        </w:rPr>
      </w:pPr>
      <w:r>
        <w:rPr>
          <w:rFonts w:ascii="Times New Roman" w:cs="Times New Roman" w:eastAsia="Times New Roman" w:hAnsi="Times New Roman"/>
          <w:sz w:val="18"/>
          <w:szCs w:val="18"/>
          <w:color w:val="auto"/>
        </w:rPr>
        <w:t>If approved, any of these events could prevent us from achieving or maintaining market acceptance of the affected drug candidates and could substantially increase the costs of commercializing our drug candidates, and significantly impact our or a partner’s ability to successfully commercialize drug candidates and generate revenues.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Topline, interim or preliminary data from our trials may not be representative of final results.</w:t>
      </w:r>
    </w:p>
    <w:p>
      <w:pPr>
        <w:spacing w:after="0" w:line="228" w:lineRule="exact"/>
        <w:rPr>
          <w:sz w:val="20"/>
          <w:szCs w:val="20"/>
          <w:color w:val="auto"/>
        </w:rPr>
      </w:pPr>
    </w:p>
    <w:p>
      <w:pPr>
        <w:ind w:right="100" w:firstLine="646"/>
        <w:spacing w:after="0" w:line="257" w:lineRule="auto"/>
        <w:rPr>
          <w:sz w:val="20"/>
          <w:szCs w:val="20"/>
          <w:color w:val="auto"/>
        </w:rPr>
      </w:pPr>
      <w:r>
        <w:rPr>
          <w:rFonts w:ascii="Times New Roman" w:cs="Times New Roman" w:eastAsia="Times New Roman" w:hAnsi="Times New Roman"/>
          <w:sz w:val="18"/>
          <w:szCs w:val="18"/>
          <w:color w:val="auto"/>
        </w:rPr>
        <w:t>From time to time, we may publish or report topline, interim or preliminary data from our clinical trials. Topline, interim or preliminary data from clinical trials that we may conduct may not be indicative of the final results of the trial and are subject to the risk that one or more of the clinical outcomes may materially change as patient enrollment continues and/or more patient data become available. Topline, interim or preliminary data also remain subject to audit and verification procedures that may result in the final data being materially different from the interim or preliminary data. As a result, topline, interim or preliminary data should be viewed with caution until the final data are available.</w:t>
      </w:r>
    </w:p>
    <w:p>
      <w:pPr>
        <w:spacing w:after="0" w:line="181"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Because we rely on third-party manufacturing and supply partners, our supply of R&amp;D, preclinical and clinical development materials may become limited or interrupted or may not be of satisfactory quantity or quality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If we are able to commercialize any of our drug candidates, our third-party manufacturers may be unable to scale or fail to comply with their supply obligations to us.</w:t>
      </w:r>
    </w:p>
    <w:p>
      <w:pPr>
        <w:spacing w:after="0" w:line="175" w:lineRule="exact"/>
        <w:rPr>
          <w:sz w:val="20"/>
          <w:szCs w:val="20"/>
          <w:color w:val="auto"/>
        </w:rPr>
      </w:pPr>
    </w:p>
    <w:p>
      <w:pPr>
        <w:ind w:right="20" w:firstLine="646"/>
        <w:spacing w:after="0" w:line="257" w:lineRule="auto"/>
        <w:rPr>
          <w:sz w:val="20"/>
          <w:szCs w:val="20"/>
          <w:color w:val="auto"/>
        </w:rPr>
      </w:pPr>
      <w:r>
        <w:rPr>
          <w:rFonts w:ascii="Times New Roman" w:cs="Times New Roman" w:eastAsia="Times New Roman" w:hAnsi="Times New Roman"/>
          <w:sz w:val="18"/>
          <w:szCs w:val="18"/>
          <w:color w:val="auto"/>
        </w:rPr>
        <w:t>We do not currently have the ability to manufacture our drug candidates without the use of third parties. We rely, and expect to continue to rely, on third-party supply and manufacturing partners, such as Procaps SA and Catalent, to manufacture and supply the materials for our R&amp;D and preclinical and clinical trial supplies, including those needed for our lead drug candidates. This reliance on third-party manufacturers may expose us to more risk than if we were to manufacture our drug candidates ourselves. We do not control the manufacturing processes of our CMOs, and we are dependent on these CMOs for the production of our drug candidates in accordance with cGMP, DEA and other relevant applicable regulations.</w:t>
      </w:r>
    </w:p>
    <w:p>
      <w:pPr>
        <w:spacing w:after="0" w:line="185" w:lineRule="exact"/>
        <w:rPr>
          <w:sz w:val="20"/>
          <w:szCs w:val="20"/>
          <w:color w:val="auto"/>
        </w:rPr>
      </w:pPr>
    </w:p>
    <w:p>
      <w:pPr>
        <w:ind w:firstLine="646"/>
        <w:spacing w:after="0" w:line="256" w:lineRule="auto"/>
        <w:rPr>
          <w:sz w:val="20"/>
          <w:szCs w:val="20"/>
          <w:color w:val="auto"/>
        </w:rPr>
      </w:pPr>
      <w:r>
        <w:rPr>
          <w:rFonts w:ascii="Times New Roman" w:cs="Times New Roman" w:eastAsia="Times New Roman" w:hAnsi="Times New Roman"/>
          <w:sz w:val="18"/>
          <w:szCs w:val="18"/>
          <w:color w:val="auto"/>
        </w:rPr>
        <w:t>In complying with the manufacturing regulations of the FDA, DEA and other comparable international regulatory authorities, we and our third-party manufacturers must spend significant time, money and effort in the areas of design and development, testing, production, record-keeping and quality control to assure that the drug candidates meet applicable specifications and other regulatory requirements. As previously discussed, our drug candidates are also subject to more stringent regulation and quotas due to the current status of certain ingredients as Schedule I controlled substances pursuant to the CSA and applicable DEA regulations. If either we or our CMOs fail to comply with any of these requirements, we may be subject to regulatory enforcement action, including the seizure of drug candidates and shutting down of production.</w:t>
      </w:r>
    </w:p>
    <w:p>
      <w:pPr>
        <w:spacing w:after="0" w:line="184" w:lineRule="exact"/>
        <w:rPr>
          <w:sz w:val="20"/>
          <w:szCs w:val="20"/>
          <w:color w:val="auto"/>
        </w:rPr>
      </w:pPr>
    </w:p>
    <w:p>
      <w:pPr>
        <w:ind w:right="100" w:firstLine="646"/>
        <w:spacing w:after="0" w:line="256" w:lineRule="auto"/>
        <w:rPr>
          <w:sz w:val="20"/>
          <w:szCs w:val="20"/>
          <w:color w:val="auto"/>
        </w:rPr>
      </w:pPr>
      <w:r>
        <w:rPr>
          <w:rFonts w:ascii="Times New Roman" w:cs="Times New Roman" w:eastAsia="Times New Roman" w:hAnsi="Times New Roman"/>
          <w:sz w:val="18"/>
          <w:szCs w:val="18"/>
          <w:color w:val="auto"/>
        </w:rPr>
        <w:t>We or our third-party manufacturers may also encounter shortages in the raw materials or APIs necessary to produce our drug candidates in the quantities needed for our clinical trials or, if our drug candidates are approved, in sufficient quantities for commercialization or to meet an increase in demand, as a result of demands from competing businesses, quota restrictions, capacity constraints or delays or disruptions in the market for the raw materials or active pharmaceutical ingredients, including shortages caused by the purchase of such raw materials or APIs by our competitors or others. The failure by us or our third-party manufacturers to obtain the raw materials or APIs necessary to manufacture sufficient quantities of our drug candidates would likely delay and significantly harm our clinical trials and related R&amp;D efforts.</w:t>
      </w:r>
    </w:p>
    <w:p>
      <w:pPr>
        <w:spacing w:after="0" w:line="184" w:lineRule="exact"/>
        <w:rPr>
          <w:sz w:val="20"/>
          <w:szCs w:val="20"/>
          <w:color w:val="auto"/>
        </w:rPr>
      </w:pPr>
    </w:p>
    <w:p>
      <w:pPr>
        <w:ind w:firstLine="646"/>
        <w:spacing w:after="0" w:line="254" w:lineRule="auto"/>
        <w:rPr>
          <w:sz w:val="20"/>
          <w:szCs w:val="20"/>
          <w:color w:val="auto"/>
        </w:rPr>
      </w:pPr>
      <w:r>
        <w:rPr>
          <w:rFonts w:ascii="Times New Roman" w:cs="Times New Roman" w:eastAsia="Times New Roman" w:hAnsi="Times New Roman"/>
          <w:sz w:val="18"/>
          <w:szCs w:val="18"/>
          <w:color w:val="auto"/>
        </w:rPr>
        <w:t>Our third-party manufacturers are subject to inspection and approval by regulatory authorities, including before we can commence the manufacture and sale of any of our drug candidates, and thereafter are subject to ongoing inspection from time to time. Our third-party manufacturers may not be able to comply with cGMP regulations or similar regulatory requirements in or outside of the United States. Our failure, or the failure of our third-party manufacturers, to comply with applicable regulations could result in regulatory actions, such as the issuance of notices of inspectional observations, warning letters or sanctions being imposed on us, including clinical holds, fines, injunctions, civil penalties, delays, suspension or withdrawal of approvals, license revocation, seizures or recalls of drug candidates or commercial products (if any), operating restrictions and criminal prosecutions, any of which could significantly and adversely affect supplies of our drug candidates. If any of our third-party suppliers fails to comply with cGMP or other applicable manufacturing regulations, our ability to develop and, as applicable, commercialize our drug candidates could suffer significant interruptions.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49" w:name="page50"/>
    <w:bookmarkEnd w:id="49"/>
    <w:p>
      <w:pPr>
        <w:ind w:right="40" w:firstLine="646"/>
        <w:spacing w:after="0" w:line="265" w:lineRule="auto"/>
        <w:rPr>
          <w:sz w:val="20"/>
          <w:szCs w:val="20"/>
          <w:color w:val="auto"/>
        </w:rPr>
      </w:pPr>
      <w:r>
        <w:rPr>
          <w:rFonts w:ascii="Times New Roman" w:cs="Times New Roman" w:eastAsia="Times New Roman" w:hAnsi="Times New Roman"/>
          <w:sz w:val="18"/>
          <w:szCs w:val="18"/>
          <w:color w:val="auto"/>
        </w:rPr>
        <w:t>If our candidates are approved, we would likely need to rapidly scale our manufacturing capabilities, including any capability we may have through our CMOs. If our CMOs fail to scale as needed, our commercialization efforts, or the commercialization efforts of any partner we may have, would likely be impaired.</w:t>
      </w:r>
    </w:p>
    <w:p>
      <w:pPr>
        <w:spacing w:after="0" w:line="176" w:lineRule="exact"/>
        <w:rPr>
          <w:sz w:val="20"/>
          <w:szCs w:val="20"/>
          <w:color w:val="auto"/>
        </w:rPr>
      </w:pPr>
    </w:p>
    <w:p>
      <w:pPr>
        <w:ind w:firstLine="646"/>
        <w:spacing w:after="0" w:line="252" w:lineRule="auto"/>
        <w:rPr>
          <w:sz w:val="20"/>
          <w:szCs w:val="20"/>
          <w:color w:val="auto"/>
        </w:rPr>
      </w:pPr>
      <w:r>
        <w:rPr>
          <w:rFonts w:ascii="Times New Roman" w:cs="Times New Roman" w:eastAsia="Times New Roman" w:hAnsi="Times New Roman"/>
          <w:sz w:val="18"/>
          <w:szCs w:val="18"/>
          <w:color w:val="auto"/>
        </w:rPr>
        <w:t>Any disruption effecting our CMOs, such as a fire, natural disaster, labor shortage or strike, supply chain disruption, pandemic, accident, political conflict, hazard, theft, attack or vandalism at our CMOs, or any impacts on our CMOs due to such matters, could significantly interrupt our R&amp;D capability, and, as applicable, our or a partner’s commercialization efforts. We currently do not have alternative production plans in place or disaster-recovery facilities available. In case of a disruption, we would have to establish alternative manufacturing sources. This would require substantial capital on our part, which we may not be able to obtain on commercially acceptable terms or at all. Additionally, we would likely experience months of manufacturing delays as we build facilities or locate alternative suppliers and seek and obtain necessary regulatory approvals. If this occurs, we will be unable to satisfy manufacturing needs on a timely basis, if at all. If changes to CMOs occur, then there also may be changes to manufacturing processes inherent in the setup of new operations for our drug candidates and any of our drugs that may obtain approval. Any such changes could require the conduct of bridging studies and regulatory approval before we can use any materials produced at new facilities or under new processes in clinical trials or, for any candidates reaching approval, in our commercial supply. For these reasons, a significant disruptive event of any CMOs could have drastic consequences, including placing our ability to continue operations at risk.</w:t>
      </w:r>
    </w:p>
    <w:p>
      <w:pPr>
        <w:spacing w:after="0" w:line="195" w:lineRule="exact"/>
        <w:rPr>
          <w:sz w:val="20"/>
          <w:szCs w:val="20"/>
          <w:color w:val="auto"/>
        </w:rPr>
      </w:pPr>
    </w:p>
    <w:p>
      <w:pPr>
        <w:ind w:right="20" w:firstLine="646"/>
        <w:spacing w:after="0" w:line="281" w:lineRule="auto"/>
        <w:rPr>
          <w:sz w:val="20"/>
          <w:szCs w:val="20"/>
          <w:color w:val="auto"/>
        </w:rPr>
      </w:pPr>
      <w:r>
        <w:rPr>
          <w:rFonts w:ascii="Times New Roman" w:cs="Times New Roman" w:eastAsia="Times New Roman" w:hAnsi="Times New Roman"/>
          <w:sz w:val="18"/>
          <w:szCs w:val="18"/>
          <w:color w:val="auto"/>
        </w:rPr>
        <w:t>If our third-party manufacturers fail to provide supplies of our drugs or drug candidates when and as needed for any reason, our business, results of operations and prospects may be materially and adversely harmed.</w:t>
      </w:r>
    </w:p>
    <w:p>
      <w:pPr>
        <w:spacing w:after="0" w:line="158" w:lineRule="exact"/>
        <w:rPr>
          <w:sz w:val="20"/>
          <w:szCs w:val="20"/>
          <w:color w:val="auto"/>
        </w:rPr>
      </w:pPr>
    </w:p>
    <w:p>
      <w:pPr>
        <w:jc w:val="both"/>
        <w:ind w:right="8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preclinical and clinical trials. If these third parties do not successfully carry out their contractual duties or meet expected deadlines, we may not be able to obtain regulatory approval for or commercialize our drug candidates and our business could be substantially harmed.</w:t>
      </w:r>
    </w:p>
    <w:p>
      <w:pPr>
        <w:spacing w:after="0" w:line="175" w:lineRule="exact"/>
        <w:rPr>
          <w:sz w:val="20"/>
          <w:szCs w:val="20"/>
          <w:color w:val="auto"/>
        </w:rPr>
      </w:pPr>
    </w:p>
    <w:p>
      <w:pPr>
        <w:ind w:right="40" w:firstLine="646"/>
        <w:spacing w:after="0" w:line="268" w:lineRule="auto"/>
        <w:rPr>
          <w:sz w:val="20"/>
          <w:szCs w:val="20"/>
          <w:color w:val="auto"/>
        </w:rPr>
      </w:pPr>
      <w:r>
        <w:rPr>
          <w:rFonts w:ascii="Times New Roman" w:cs="Times New Roman" w:eastAsia="Times New Roman" w:hAnsi="Times New Roman"/>
          <w:sz w:val="17"/>
          <w:szCs w:val="17"/>
          <w:color w:val="auto"/>
        </w:rPr>
        <w:t>We are, and may continue to be, reliant on other parties for the successful development and commercialization of many of our drug candidates. We rely upon CROs and clinical investigators for the conduct of our clinical trials and may rely upon contract laboratories for execution of our preclinical studies, and we control only certain aspects of their activities. Nevertheless, we are responsible for ensuring that each of our studies and trials is conducted in accordance with the applicable protocol and legal, regulatory and scientific standards, and our reliance on the CROs or collaboration partners does not relieve us of our regulatory responsibilities. We also rely on third parties to assist in conducting our nonclinical studies in accordance with GLP and requirements with respect to animal welfare. We and our CROs or collaboration or licensing partners are required to comply with GCP, which are regulations and guidelines enforced by the FDA, EMA, MHRA and comparable international regulatory authorities for all of our products in clinical development. Regulatory authorities enforce GCP regulations, and other regulations applicable to clinical trials and investigational drug products, through periodic inspections of trial sponsors, CROs, principal investigators and trial sites. If we or any of our CROs or partners fail to comply with applicable GCP regulations or other clinical trial regulations, the data generated in our clinical trials may be deemed unreliable and the FDA, EMA, MHPA or comparable international regulatory authorities may require us to perform additional clinical trials before approving our marketing applications. We cannot provide assurance that upon inspection by a given regulatory authority that such regulatory authority will determine that any of our clinical trials comply with GCP requirements or other applicable regulations. In addition, our clinical trials must be conducted with product manufactured under cGMP requirements. Failure to comply with these regulations may require us to repeat nonclinical studies and clinical trials, which would delay the regulatory approval process.</w:t>
      </w:r>
    </w:p>
    <w:p>
      <w:pPr>
        <w:spacing w:after="0" w:line="176" w:lineRule="exact"/>
        <w:rPr>
          <w:sz w:val="20"/>
          <w:szCs w:val="20"/>
          <w:color w:val="auto"/>
        </w:rPr>
      </w:pPr>
    </w:p>
    <w:p>
      <w:pPr>
        <w:ind w:right="40" w:firstLine="646"/>
        <w:spacing w:after="0" w:line="255" w:lineRule="auto"/>
        <w:rPr>
          <w:sz w:val="20"/>
          <w:szCs w:val="20"/>
          <w:color w:val="auto"/>
        </w:rPr>
      </w:pPr>
      <w:r>
        <w:rPr>
          <w:rFonts w:ascii="Times New Roman" w:cs="Times New Roman" w:eastAsia="Times New Roman" w:hAnsi="Times New Roman"/>
          <w:sz w:val="18"/>
          <w:szCs w:val="18"/>
          <w:color w:val="auto"/>
        </w:rPr>
        <w:t>Our CROs and other contractors or collaborators are not our employees, and except for remedies available to us under such agreements with such CROs, we cannot control whether or not they devote sufficient time and resources to our on-going or future clinical or nonclinical programs, as applicable. If CROs do not successfully carry out their contractual duties or obligations or meet expected deadlines or if the quality or accuracy of the clinical data they obtain is compromised due to the failure to adhere to our clinical protocols, regulatory requirements or for other reasons, then our clinical trials may be extended, delayed or terminated and we may not be able to obtain regulatory approval for or successfully commercialize our drug candidates. As a result, our results of operations and the commercial prospects for our drug candidates would be harmed, our costs could increase and our ability to generate revenues could be delayed.</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50" w:name="page51"/>
    <w:bookmarkEnd w:id="50"/>
    <w:p>
      <w:pPr>
        <w:ind w:right="120" w:firstLine="646"/>
        <w:spacing w:after="0" w:line="271" w:lineRule="auto"/>
        <w:rPr>
          <w:sz w:val="20"/>
          <w:szCs w:val="20"/>
          <w:color w:val="auto"/>
        </w:rPr>
      </w:pPr>
      <w:r>
        <w:rPr>
          <w:rFonts w:ascii="Times New Roman" w:cs="Times New Roman" w:eastAsia="Times New Roman" w:hAnsi="Times New Roman"/>
          <w:sz w:val="17"/>
          <w:szCs w:val="17"/>
          <w:color w:val="auto"/>
        </w:rPr>
        <w:t>If any of our relationships with these third parties terminate, we may not be able to enter into arrangements with alternative third parties on commercially reasonable terms, or at all. Entering into arrangements with alternative CROs, clinical trial investigators or other third parties involves additional cost and requires management focus and time, in addition to requiring a transition period when a new CRO, clinical trial investigator or other third party begins work. If third parties do not successfully carry out their contractual duties or obligations or meet expected deadlines, if they need to be replaced or if the quality or accuracy of the clinical data they obtain are compromised due to the failure to adhere to our clinical protocols, regulatory requirements or for other reasons, any clinical trials such third parties are associated with may be extended, delayed or terminated, and we may not be able to obtain marketing approval for or successfully commercialize our drug candidates. As a result, we believe that our financial results and the commercial prospects for our drug candidates in the subject indication would be harmed, our costs could increase and our ability to generate revenue could be delayed.</w:t>
      </w:r>
    </w:p>
    <w:p>
      <w:pPr>
        <w:spacing w:after="0" w:line="174" w:lineRule="exact"/>
        <w:rPr>
          <w:sz w:val="20"/>
          <w:szCs w:val="20"/>
          <w:color w:val="auto"/>
        </w:rPr>
      </w:pPr>
    </w:p>
    <w:p>
      <w:pPr>
        <w:ind w:right="60" w:firstLine="646"/>
        <w:spacing w:after="0" w:line="272" w:lineRule="auto"/>
        <w:rPr>
          <w:sz w:val="20"/>
          <w:szCs w:val="20"/>
          <w:color w:val="auto"/>
        </w:rPr>
      </w:pPr>
      <w:r>
        <w:rPr>
          <w:rFonts w:ascii="Times New Roman" w:cs="Times New Roman" w:eastAsia="Times New Roman" w:hAnsi="Times New Roman"/>
          <w:sz w:val="17"/>
          <w:szCs w:val="17"/>
          <w:color w:val="auto"/>
        </w:rPr>
        <w:t>Because we have relied on third parties, our internal capacity to perform these functions is limited. Outsourcing these functions involves risk that third parties may not perform to our standards, may not produce results in a timely manner or may fail to perform at all. In addition, the use of third-party service providers requires us to disclose our proprietary information to these parties, which could increase the risk that this information will be misappropriated. We currently have a small number of employees, which limits the internal resources we have available to identify and monitor our third-party providers. To the extent we are unable to identify and successfully manage the performance of third-party service providers in the future, our business may be adversely affected. Though we carefully manage our relationships with our CROs, there can be no assurance that we will not encounter challenges or delays in the future or that these delays or challenges will not have a material adverse impact on our business, financial condition and prospects.</w:t>
      </w:r>
    </w:p>
    <w:p>
      <w:pPr>
        <w:spacing w:after="0" w:line="169" w:lineRule="exact"/>
        <w:rPr>
          <w:sz w:val="20"/>
          <w:szCs w:val="20"/>
          <w:color w:val="auto"/>
        </w:rPr>
      </w:pPr>
    </w:p>
    <w:p>
      <w:pPr>
        <w:ind w:right="6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A potential breakthrough therapy designation by the FDA for our drug candidates may not lead to a faster development or regulatory review or approval process, and it does not increase the likelihood that our drug candidates will receive marketing approval.</w:t>
      </w:r>
    </w:p>
    <w:p>
      <w:pPr>
        <w:spacing w:after="0" w:line="159" w:lineRule="exact"/>
        <w:rPr>
          <w:sz w:val="20"/>
          <w:szCs w:val="20"/>
          <w:color w:val="auto"/>
        </w:rPr>
      </w:pPr>
    </w:p>
    <w:p>
      <w:pPr>
        <w:ind w:right="180" w:firstLine="646"/>
        <w:spacing w:after="0" w:line="255" w:lineRule="auto"/>
        <w:rPr>
          <w:sz w:val="20"/>
          <w:szCs w:val="20"/>
          <w:color w:val="auto"/>
        </w:rPr>
      </w:pPr>
      <w:r>
        <w:rPr>
          <w:rFonts w:ascii="Times New Roman" w:cs="Times New Roman" w:eastAsia="Times New Roman" w:hAnsi="Times New Roman"/>
          <w:sz w:val="18"/>
          <w:szCs w:val="18"/>
          <w:color w:val="auto"/>
        </w:rPr>
        <w:t>We may seek a breakthrough therapy designation from the FDA for one or more of our drug candidates. A breakthrough therapy is defined as a drug product that is intended, alone or in combination with one or more other drugs, to treat a serious or life-threatening disease or condition, and preliminary clinical evidence indicates that the drug product may demonstrate substantial improvement over existing therapies on one or more clinically significant endpoints, such as substantial treatment effects observed early in clinical development. For drug products that have been designated as breakthrough therapies, interaction and communication between the FDA and the sponsor of a clinical trial can help to identify the most efficient path for clinical development while minimizing the number of patients placed in ineffective control regimens. Drug products designated as breakthrough therapies by the FDA could also be eligible for accelerated approval.</w:t>
      </w:r>
    </w:p>
    <w:p>
      <w:pPr>
        <w:spacing w:after="0" w:line="184" w:lineRule="exact"/>
        <w:rPr>
          <w:sz w:val="20"/>
          <w:szCs w:val="20"/>
          <w:color w:val="auto"/>
        </w:rPr>
      </w:pPr>
    </w:p>
    <w:p>
      <w:pPr>
        <w:ind w:firstLine="646"/>
        <w:spacing w:after="0" w:line="256"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drug candidates meets the criteria for designation as a breakthrough therapy, the FDA may disagree and instead determine not to make such designation. In any event, the receipt of a breakthrough therapy designation for a drug candidate may not result in a faster development process, review or approval, compared to drugs considered for approval under conventional or other accelerated FDA procedures and does not ensure ultimate approval by the FDA. In addition, even if one or more of our drug candidates qualify and are designated as a breakthrough therapy, the FDA may later decide that the drug products no longer meet the conditions for designation and the designation may be rescinded.</w:t>
      </w:r>
    </w:p>
    <w:p>
      <w:pPr>
        <w:spacing w:after="0" w:line="180"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may seek Fast Track designation for one or more of our other drug candidates in the future. Even if we apply for Fast Track designation in the future, we might not receive such designation, and even if we do, such designation may not actually lead to a faster development or regulatory review or approval process.</w:t>
      </w:r>
    </w:p>
    <w:p>
      <w:pPr>
        <w:spacing w:after="0" w:line="175" w:lineRule="exact"/>
        <w:rPr>
          <w:sz w:val="20"/>
          <w:szCs w:val="20"/>
          <w:color w:val="auto"/>
        </w:rPr>
      </w:pPr>
    </w:p>
    <w:p>
      <w:pPr>
        <w:ind w:right="20" w:firstLine="646"/>
        <w:spacing w:after="0" w:line="255" w:lineRule="auto"/>
        <w:rPr>
          <w:sz w:val="20"/>
          <w:szCs w:val="20"/>
          <w:color w:val="auto"/>
        </w:rPr>
      </w:pPr>
      <w:r>
        <w:rPr>
          <w:rFonts w:ascii="Times New Roman" w:cs="Times New Roman" w:eastAsia="Times New Roman" w:hAnsi="Times New Roman"/>
          <w:sz w:val="18"/>
          <w:szCs w:val="18"/>
          <w:color w:val="auto"/>
        </w:rPr>
        <w:t>If a drug candidate is intended for the treatment of a serious condition and nonclinical or clinical data demonstrate the potential to address an unmet medical need for this condition, a product sponsor may request an FDA Fast Track designation from the FDA. If we seek Fast Track designation for a drug candidate, we may not receive it from the FDA. However, even if we receive Fast Track designation, Fast Track designation does not ensure that we will receive marketing approval or that approval will be granted within any particular time frame. We may not experience a faster development or regulatory review or approval process with Fast Track designation compared to conventional FDA procedures. In addition, the FDA may withdraw Fast Track designation if the designation is no longer supported by data from our clinical development program. Fast Track designation alone does not guarantee qualification for the FDA’s priority review procedures.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51" w:name="page52"/>
    <w:bookmarkEnd w:id="51"/>
    <w:p>
      <w:pPr>
        <w:ind w:right="6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We expect to utilize the FDA’s Section 505(b)(2) pathway for certain of our drug candidates and if that pathway is not available, the development of our drug candidates will likely take significantly longer, cost significantly more and entail significantly greater complexity and risk than currently anticipated, and, in any case, may not be successful.</w:t>
      </w:r>
    </w:p>
    <w:p>
      <w:pPr>
        <w:spacing w:after="0" w:line="175" w:lineRule="exact"/>
        <w:rPr>
          <w:sz w:val="20"/>
          <w:szCs w:val="20"/>
          <w:color w:val="auto"/>
        </w:rPr>
      </w:pPr>
    </w:p>
    <w:p>
      <w:pPr>
        <w:ind w:right="240" w:firstLine="646"/>
        <w:spacing w:after="0" w:line="256" w:lineRule="auto"/>
        <w:rPr>
          <w:sz w:val="20"/>
          <w:szCs w:val="20"/>
          <w:color w:val="auto"/>
        </w:rPr>
      </w:pPr>
      <w:r>
        <w:rPr>
          <w:rFonts w:ascii="Times New Roman" w:cs="Times New Roman" w:eastAsia="Times New Roman" w:hAnsi="Times New Roman"/>
          <w:sz w:val="18"/>
          <w:szCs w:val="18"/>
          <w:color w:val="auto"/>
        </w:rPr>
        <w:t>We plan to seek approval to use the FDA’s Section 505(b)(2) pathway for certain of our drug candidates. However, if the FDA subsequently determines that we may not use this regulatory pathway, then we would need to seek regulatory approval for the drug candidates via a “full” or “stand-alone” NDA under Section 505(b)(1) of the FDCA. This would require us to conduct additional clinical trials, provide additional safety and efficacy data and other information, and meet additional standards for regulatory approval including possibly nonclinical data. If this were to occur, the time and financial resources required to obtain FDA approval, as well as the development complexity and risk associated with these programs, would likely substantially increase, which could have a material adverse effect on our business and financial condition.</w:t>
      </w:r>
    </w:p>
    <w:p>
      <w:pPr>
        <w:spacing w:after="0" w:line="184" w:lineRule="exact"/>
        <w:rPr>
          <w:sz w:val="20"/>
          <w:szCs w:val="20"/>
          <w:color w:val="auto"/>
        </w:rPr>
      </w:pPr>
    </w:p>
    <w:p>
      <w:pPr>
        <w:ind w:right="220" w:firstLine="646"/>
        <w:spacing w:after="0" w:line="256" w:lineRule="auto"/>
        <w:rPr>
          <w:sz w:val="20"/>
          <w:szCs w:val="20"/>
          <w:color w:val="auto"/>
        </w:rPr>
      </w:pPr>
      <w:r>
        <w:rPr>
          <w:rFonts w:ascii="Times New Roman" w:cs="Times New Roman" w:eastAsia="Times New Roman" w:hAnsi="Times New Roman"/>
          <w:sz w:val="18"/>
          <w:szCs w:val="18"/>
          <w:color w:val="auto"/>
        </w:rPr>
        <w:t>The Drug Price Competition and Patent Term Restoration Act of 1984, informally known as the Hatch-Waxman Act, added Section 505(b)(2) to the FDCA. Section 505(b)(2) permits the filing of an NDA where at least some of the information required for approval comes from studies and information that were not conducted by or for the applicant and for which the applicant has not obtained a right of reference. Section 505(b)(2), if applicable to us under the FDCA, would allow an NDA we submit to the FDA to rely in part on data in the public domain or the FDA’s prior conclusions regarding the safety and effectiveness of approved compounds, which could expedite our development programs relative to seeking approval under the 505(b)(1) regulatory pathway.</w:t>
      </w:r>
    </w:p>
    <w:p>
      <w:pPr>
        <w:spacing w:after="0" w:line="184" w:lineRule="exact"/>
        <w:rPr>
          <w:sz w:val="20"/>
          <w:szCs w:val="20"/>
          <w:color w:val="auto"/>
        </w:rPr>
      </w:pPr>
    </w:p>
    <w:p>
      <w:pPr>
        <w:ind w:right="160" w:firstLine="646"/>
        <w:spacing w:after="0" w:line="255" w:lineRule="auto"/>
        <w:rPr>
          <w:sz w:val="20"/>
          <w:szCs w:val="20"/>
          <w:color w:val="auto"/>
        </w:rPr>
      </w:pPr>
      <w:r>
        <w:rPr>
          <w:rFonts w:ascii="Times New Roman" w:cs="Times New Roman" w:eastAsia="Times New Roman" w:hAnsi="Times New Roman"/>
          <w:sz w:val="18"/>
          <w:szCs w:val="18"/>
          <w:color w:val="auto"/>
        </w:rPr>
        <w:t>Notwithstanding the approval of an increasing number of products by the FDA under Section 505(b)(2) over the last decade, certain brand-name pharmaceutical companies and others have objected to the FDA’s interpretation of Section 505(b)(2). If the FDA’s interpretation of Section 505(b)(2) is successfully challenged, or Congress were to amend the statute to alter the currently available regulatory pathway, the FDA may change its 505(b)(2) policies and practices, which could delay or even prevent the FDA from approving any NDA we submit under Section 505(b)(2). In addition, the pharmaceutical industry is highly competitive, and Section 505(b)(2) NDAs are subject to special requirements designed to protect the patent rights of sponsors of previously approved drugs referenced in a Section 505(b)(2) NDA. Even if we are able to utilize the Section 505(b)(2) regulatory pathway for one or more of our drug candidates, there is no guarantee this would ultimately lead to faster product development or earlier approval.</w:t>
      </w:r>
    </w:p>
    <w:p>
      <w:pPr>
        <w:spacing w:after="0" w:line="184" w:lineRule="exact"/>
        <w:rPr>
          <w:sz w:val="20"/>
          <w:szCs w:val="20"/>
          <w:color w:val="auto"/>
        </w:rPr>
      </w:pPr>
    </w:p>
    <w:p>
      <w:pPr>
        <w:ind w:right="20" w:firstLine="646"/>
        <w:spacing w:after="0" w:line="265" w:lineRule="auto"/>
        <w:rPr>
          <w:sz w:val="20"/>
          <w:szCs w:val="20"/>
          <w:color w:val="auto"/>
        </w:rPr>
      </w:pPr>
      <w:r>
        <w:rPr>
          <w:rFonts w:ascii="Times New Roman" w:cs="Times New Roman" w:eastAsia="Times New Roman" w:hAnsi="Times New Roman"/>
          <w:sz w:val="18"/>
          <w:szCs w:val="18"/>
          <w:color w:val="auto"/>
        </w:rPr>
        <w:t>Moreover, any delay resulting from our inability to pursue the FDA’s 505(b)(2) pathway could result in new competitive products reaching the market more quickly than our drug candidates, which may have a material adverse impact our competitive position and prospects. Even if we are allowed to pursue the FDA’s 505(b)(2) pathway, we cannot assure you that our drug candidates will receive the requisite approvals for commercialization.</w:t>
      </w:r>
    </w:p>
    <w:p>
      <w:pPr>
        <w:spacing w:after="0" w:line="172" w:lineRule="exact"/>
        <w:rPr>
          <w:sz w:val="20"/>
          <w:szCs w:val="20"/>
          <w:color w:val="auto"/>
        </w:rPr>
      </w:pPr>
    </w:p>
    <w:p>
      <w:pPr>
        <w:ind w:right="18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may use our financial and human resources to pursue a particular research program or drug candidate and fail to capitalize on programs or drug candidates that may be more profitable or for which there is a greater likelihood of success.</w:t>
      </w:r>
    </w:p>
    <w:p>
      <w:pPr>
        <w:spacing w:after="0" w:line="159" w:lineRule="exact"/>
        <w:rPr>
          <w:sz w:val="20"/>
          <w:szCs w:val="20"/>
          <w:color w:val="auto"/>
        </w:rPr>
      </w:pPr>
    </w:p>
    <w:p>
      <w:pPr>
        <w:ind w:right="20" w:firstLine="646"/>
        <w:spacing w:after="0" w:line="254" w:lineRule="auto"/>
        <w:rPr>
          <w:sz w:val="20"/>
          <w:szCs w:val="20"/>
          <w:color w:val="auto"/>
        </w:rPr>
      </w:pPr>
      <w:r>
        <w:rPr>
          <w:rFonts w:ascii="Times New Roman" w:cs="Times New Roman" w:eastAsia="Times New Roman" w:hAnsi="Times New Roman"/>
          <w:sz w:val="18"/>
          <w:szCs w:val="18"/>
          <w:color w:val="auto"/>
        </w:rPr>
        <w:t>Because we have limited financial and human resources, we may forego or delay pursuit of opportunities with certain programs or drug candidates or for other indications that later prove to have greater commercial potential. Our resource allocation decisions may cause us to fail to capitalize on viable commercial products or more profitable market opportunities. Our spending on current and future R&amp;D programs and future drug candidates for specific indications may not yield any commercially viable products. We may also enter into additional strategic collaboration agreements to develop and commercialize some of our programs and potential drug candidates in indications with potentially large commercial markets. If we do not accurately evaluate the commercial potential or target market for a particular drug candidate, we may relinquish valuable rights to that drug candidate through strategic collaborations, licensing or other royalty arrangements in cases in which it would have been more advantageous for us to retain sole development and commercialization rights to such drug candidate.</w:t>
      </w:r>
    </w:p>
    <w:p>
      <w:pPr>
        <w:spacing w:after="0" w:line="183"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have conducted, and intend to conduct, clinical trials for certain of our drug candidates at sites outside of the United States, and the U.S. regulatory agencies may not accept data from trials conducted in such locations.</w:t>
      </w:r>
    </w:p>
    <w:p>
      <w:pPr>
        <w:spacing w:after="0" w:line="159" w:lineRule="exact"/>
        <w:rPr>
          <w:sz w:val="20"/>
          <w:szCs w:val="20"/>
          <w:color w:val="auto"/>
        </w:rPr>
      </w:pPr>
    </w:p>
    <w:p>
      <w:pPr>
        <w:ind w:firstLine="646"/>
        <w:spacing w:after="0" w:line="252" w:lineRule="auto"/>
        <w:rPr>
          <w:sz w:val="20"/>
          <w:szCs w:val="20"/>
          <w:color w:val="auto"/>
        </w:rPr>
      </w:pPr>
      <w:r>
        <w:rPr>
          <w:rFonts w:ascii="Times New Roman" w:cs="Times New Roman" w:eastAsia="Times New Roman" w:hAnsi="Times New Roman"/>
          <w:sz w:val="18"/>
          <w:szCs w:val="18"/>
          <w:color w:val="auto"/>
        </w:rPr>
        <w:t>As noted above, we have conducted trials for our drug candidates pursuant to Australian law and intend to conduct future and current trials for these candidates pursuant to FDA regulations in an effort to obtain FDA approval. The FDA’s acceptance of data from clinical trials conducted outside the United States may be subject to certain conditions or may not be accepted at all, and other comparable non-U.S. regulatory authorities may have similar restrictions and conditions with respect to clinical trials conducted outside of their respective jurisdictions. In cases where data from clinical trials conducted wholly outside of the United States are intended to serve as the basis for marketing approval in the United States, the FDA will generally not accept such non-U.S. trial data unless (i) the data are determined to be applicable to the U.S. population and U.S. medical practice; (ii) the trials were performed by clinical investigators of recognized competence and pursuant to GCP regulations; and (iii) the FDA is able to validate the data through an onsite inspection or other appropriate means, if necessary. Additionally, the FDA’s clinical trial requirements, including sufficient size of patient populations and statistical powering, must be met. Furthermore, even where the non-U.S. trial data are not intended to serve as the sole basis for approval, the FDA will not accept the data as support for an application for marketing approval unless the study is well-designed and well-conducted in accordance with GCP requirements and the FDA is able to validate the data from the study through an onsite inspection if deemed necessary. Many comparable non-U.S. regulatory authorities have similar approval requirements.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2" w:name="page53"/>
    <w:bookmarkEnd w:id="52"/>
    <w:p>
      <w:pPr>
        <w:ind w:right="160" w:firstLine="646"/>
        <w:spacing w:after="0" w:line="257" w:lineRule="auto"/>
        <w:rPr>
          <w:sz w:val="20"/>
          <w:szCs w:val="20"/>
          <w:color w:val="auto"/>
        </w:rPr>
      </w:pPr>
      <w:r>
        <w:rPr>
          <w:rFonts w:ascii="Times New Roman" w:cs="Times New Roman" w:eastAsia="Times New Roman" w:hAnsi="Times New Roman"/>
          <w:sz w:val="18"/>
          <w:szCs w:val="18"/>
          <w:color w:val="auto"/>
        </w:rPr>
        <w:t>In addition, while these clinical trials are subject to the applicable local laws, the FDA acceptance of the data will be dependent upon its determination that the trials also complied with all applicable U.S. laws and regulations. There can be no assurance that the FDA will accept future data from trials conducted outside of the United States. If the FDA does not accept the data from any of our clinical trials that we determine to conduct or have conducted outside the United States, it would likely result in the need for additional trials that would be costly and time-consuming and delay or permanently halt the development of a drug candidate.</w:t>
      </w:r>
    </w:p>
    <w:p>
      <w:pPr>
        <w:spacing w:after="0" w:line="185" w:lineRule="exact"/>
        <w:rPr>
          <w:sz w:val="20"/>
          <w:szCs w:val="20"/>
          <w:color w:val="auto"/>
        </w:rPr>
      </w:pPr>
    </w:p>
    <w:p>
      <w:pPr>
        <w:ind w:right="160" w:firstLine="646"/>
        <w:spacing w:after="0" w:line="257" w:lineRule="auto"/>
        <w:rPr>
          <w:sz w:val="20"/>
          <w:szCs w:val="20"/>
          <w:color w:val="auto"/>
        </w:rPr>
      </w:pPr>
      <w:r>
        <w:rPr>
          <w:rFonts w:ascii="Times New Roman" w:cs="Times New Roman" w:eastAsia="Times New Roman" w:hAnsi="Times New Roman"/>
          <w:sz w:val="18"/>
          <w:szCs w:val="18"/>
          <w:color w:val="auto"/>
        </w:rPr>
        <w:t>Conducting clinical trials outside the United States may also expose us to additional risks, including risks associated with the following, among other things: additional international regulatory requirements; international exchange fluctuations; compliance with international manufacturing, customs, shipment and storage requirements; the failure of enrolled subjects in international countries to adhere to clinical protocol as a result of differences in standard-of-care; cultural differences in medical practice and clinical research; diminished protection of intellectual property rights; and compliance with general local legal requirements.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Drug Candidates</w:t>
      </w:r>
    </w:p>
    <w:p>
      <w:pPr>
        <w:spacing w:after="0" w:line="224"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marketing approval of a drug candidate, we will be subject to ongoing regulatory obligations and continued regulatory review, which may result in significant additional expense and we may be subject to penalties if we fail to comply with regulatory requirements or experience unanticipated problems with our products, if approved.</w:t>
      </w:r>
    </w:p>
    <w:p>
      <w:pPr>
        <w:spacing w:after="0" w:line="175" w:lineRule="exact"/>
        <w:rPr>
          <w:sz w:val="20"/>
          <w:szCs w:val="20"/>
          <w:color w:val="auto"/>
        </w:rPr>
      </w:pPr>
    </w:p>
    <w:p>
      <w:pPr>
        <w:ind w:firstLine="646"/>
        <w:spacing w:after="0" w:line="252" w:lineRule="auto"/>
        <w:rPr>
          <w:sz w:val="20"/>
          <w:szCs w:val="20"/>
          <w:color w:val="auto"/>
        </w:rPr>
      </w:pPr>
      <w:r>
        <w:rPr>
          <w:rFonts w:ascii="Times New Roman" w:cs="Times New Roman" w:eastAsia="Times New Roman" w:hAnsi="Times New Roman"/>
          <w:sz w:val="18"/>
          <w:szCs w:val="18"/>
          <w:color w:val="auto"/>
        </w:rPr>
        <w:t>Any marketing authorization that we receive for any current or future drug candidate may be subject to limitations on the authorized indicated uses for which the product may be marketed or the conditions of authorization or contain requirements for potentially costly post-market testing and surveillance to monitor the safety and efficacy of the product. The FDA or comparable international regulatory authorities may also require a REMS or a comparable international strategy, as a condition of approval of any drug candidate, which could include requirements for a medication guide, physician communication plans or additional elements to assure safe use, such as restricted distribution methods, patient registries and other risk minimization tools. If the FDA or a comparable international regulatory authority grants marketing authorization for a candidate, the manufacturing processes, labeling, packaging, distribution, AE reporting, storage, advertising, promotion, import and export and record keeping for the candidate will be subject to extensive and ongoing regulatory requirements. These requirements include, among others, submissions of safety and other post-marketing information and reports, registration, as well as continued compliance with cGMP and GCP for any clinical trials that we conduct post-approval, and prohibitions on the promotion of an authorized product for unauthorized indications or uses. The FDA and other or comparable international regulatory authorities actively enforce the laws and regulations prohibiting the promotion of off-label uses, and a company that is found to have improperly promoted off-label may be subject to significant liability. However, physicians may, in their independent medical judgment, prescribe legally available products for off-label uses. The FDA does not regulate the behavior of physicians in their choice of treatments, but the FDA does restrict manufacturer’s communications on the subject of off-label use of their products. Similar considerations apply outside of the United States.</w:t>
      </w:r>
    </w:p>
    <w:p>
      <w:pPr>
        <w:spacing w:after="0" w:line="190" w:lineRule="exact"/>
        <w:rPr>
          <w:sz w:val="20"/>
          <w:szCs w:val="20"/>
          <w:color w:val="auto"/>
        </w:rPr>
      </w:pPr>
    </w:p>
    <w:p>
      <w:pPr>
        <w:ind w:right="180" w:firstLine="646"/>
        <w:spacing w:after="0" w:line="281" w:lineRule="auto"/>
        <w:rPr>
          <w:sz w:val="20"/>
          <w:szCs w:val="20"/>
          <w:color w:val="auto"/>
        </w:rPr>
      </w:pPr>
      <w:r>
        <w:rPr>
          <w:rFonts w:ascii="Times New Roman" w:cs="Times New Roman" w:eastAsia="Times New Roman" w:hAnsi="Times New Roman"/>
          <w:sz w:val="18"/>
          <w:szCs w:val="18"/>
          <w:color w:val="auto"/>
        </w:rPr>
        <w:t>Later discovery of previously unknown problems with any authorized product, including AEs of unanticipated severity or frequency, or with our third-party manufacturers or manufacturing processes, or failure to comply with regulatory requirements, may result in, among other things:</w:t>
      </w:r>
    </w:p>
    <w:p>
      <w:pPr>
        <w:spacing w:after="0" w:line="162" w:lineRule="exact"/>
        <w:rPr>
          <w:sz w:val="20"/>
          <w:szCs w:val="20"/>
          <w:color w:val="auto"/>
        </w:rPr>
      </w:pPr>
    </w:p>
    <w:p>
      <w:pPr>
        <w:ind w:left="980" w:right="280" w:hanging="326"/>
        <w:spacing w:after="0" w:line="281"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distribution, marketing or manufacturing of the product, withdrawal of the product from the market, or product recalls;</w:t>
      </w:r>
    </w:p>
    <w:p>
      <w:pPr>
        <w:spacing w:after="0" w:line="161"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untitled or warning letters from the FDA, or comparable notices of violation from comparable international regulatory authorities;</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clinical holds on ongoing clinical trials;</w:t>
      </w:r>
    </w:p>
    <w:p>
      <w:pPr>
        <w:spacing w:after="0" w:line="223" w:lineRule="exact"/>
        <w:rPr>
          <w:rFonts w:ascii="Times New Roman" w:cs="Times New Roman" w:eastAsia="Times New Roman" w:hAnsi="Times New Roman"/>
          <w:sz w:val="18"/>
          <w:szCs w:val="18"/>
          <w:color w:val="auto"/>
        </w:rPr>
      </w:pPr>
    </w:p>
    <w:p>
      <w:pPr>
        <w:ind w:left="980" w:right="700" w:hanging="326"/>
        <w:spacing w:after="0" w:line="281"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by the FDA or comparable international regulatory authorities to authorize pending applications or supplements to authorized applications we filed or suspension or revocation of marketing authorizations;</w:t>
      </w:r>
    </w:p>
    <w:p>
      <w:pPr>
        <w:spacing w:after="0" w:line="161"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clinical trials;</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coverage by third-party payors;</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the product; and</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53" w:name="page54"/>
    <w:bookmarkEnd w:id="53"/>
    <w:p>
      <w:pPr>
        <w:ind w:right="100" w:firstLine="646"/>
        <w:spacing w:after="0" w:line="257"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marketing authorization of a product.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authorization that we may have obtained and we may not achieve or sustain profitability.</w:t>
      </w:r>
    </w:p>
    <w:p>
      <w:pPr>
        <w:spacing w:after="0" w:line="185" w:lineRule="exact"/>
        <w:rPr>
          <w:sz w:val="20"/>
          <w:szCs w:val="20"/>
          <w:color w:val="auto"/>
        </w:rPr>
      </w:pPr>
    </w:p>
    <w:p>
      <w:pPr>
        <w:ind w:right="180" w:firstLine="646"/>
        <w:spacing w:after="0" w:line="265" w:lineRule="auto"/>
        <w:rPr>
          <w:sz w:val="20"/>
          <w:szCs w:val="20"/>
          <w:color w:val="auto"/>
        </w:rPr>
      </w:pPr>
      <w:r>
        <w:rPr>
          <w:rFonts w:ascii="Times New Roman" w:cs="Times New Roman" w:eastAsia="Times New Roman" w:hAnsi="Times New Roman"/>
          <w:sz w:val="18"/>
          <w:szCs w:val="18"/>
          <w:color w:val="auto"/>
        </w:rPr>
        <w:t>Non-compliance with European Union requirements regarding safety monitoring or pharmacovigilance can also result in significant financial penalties. Similarly, failure to comply with the European Union requirements regarding the protection of personal information can also lead to significant penalties and sanctions.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Future potential sales of our drug candidates may suffer if they are not accepted in the marketplace by physicians, patients and the medical community</w:t>
      </w:r>
      <w:r>
        <w:rPr>
          <w:rFonts w:ascii="Times New Roman" w:cs="Times New Roman" w:eastAsia="Times New Roman" w:hAnsi="Times New Roman"/>
          <w:sz w:val="17"/>
          <w:szCs w:val="17"/>
          <w:b w:val="1"/>
          <w:bCs w:val="1"/>
          <w:color w:val="auto"/>
        </w:rPr>
        <w:t>.</w:t>
      </w:r>
    </w:p>
    <w:p>
      <w:pPr>
        <w:spacing w:after="0" w:line="240" w:lineRule="exact"/>
        <w:rPr>
          <w:sz w:val="20"/>
          <w:szCs w:val="20"/>
          <w:color w:val="auto"/>
        </w:rPr>
      </w:pPr>
    </w:p>
    <w:p>
      <w:pPr>
        <w:ind w:right="180" w:firstLine="646"/>
        <w:spacing w:after="0" w:line="265" w:lineRule="auto"/>
        <w:rPr>
          <w:sz w:val="20"/>
          <w:szCs w:val="20"/>
          <w:color w:val="auto"/>
        </w:rPr>
      </w:pPr>
      <w:r>
        <w:rPr>
          <w:rFonts w:ascii="Times New Roman" w:cs="Times New Roman" w:eastAsia="Times New Roman" w:hAnsi="Times New Roman"/>
          <w:sz w:val="18"/>
          <w:szCs w:val="18"/>
          <w:color w:val="auto"/>
        </w:rPr>
        <w:t>There is a risk that our drug candidates may not gain market acceptance among physicians, patients and the medical community, even if they are approved by the regulatory authorities. The degree of market acceptance of any of our approved drug candidates will depend on a variety of factors, including:</w:t>
      </w:r>
    </w:p>
    <w:p>
      <w:pPr>
        <w:spacing w:after="0" w:line="176" w:lineRule="exact"/>
        <w:rPr>
          <w:sz w:val="20"/>
          <w:szCs w:val="20"/>
          <w:color w:val="auto"/>
        </w:rPr>
      </w:pPr>
    </w:p>
    <w:p>
      <w:pPr>
        <w:ind w:left="980" w:hanging="326"/>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of market introduction, number and clinical profile of competitive products;</w:t>
      </w:r>
    </w:p>
    <w:p>
      <w:pPr>
        <w:spacing w:after="0" w:line="250" w:lineRule="exact"/>
        <w:rPr>
          <w:rFonts w:ascii="Times New Roman" w:cs="Times New Roman" w:eastAsia="Times New Roman" w:hAnsi="Times New Roman"/>
          <w:sz w:val="18"/>
          <w:szCs w:val="18"/>
          <w:color w:val="auto"/>
        </w:rPr>
      </w:pPr>
    </w:p>
    <w:p>
      <w:pPr>
        <w:ind w:left="980" w:right="120" w:hanging="326"/>
        <w:spacing w:after="0" w:line="281"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acceptable evidence of safety and efficacy and our ability to secure the support of key clinicians and physicians for our drug candidates;</w:t>
      </w:r>
    </w:p>
    <w:p>
      <w:pPr>
        <w:spacing w:after="0" w:line="161"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cost-effectiveness compared to existing and new treatments;</w:t>
      </w:r>
    </w:p>
    <w:p>
      <w:pPr>
        <w:spacing w:after="0" w:line="250"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coverage, reimbursement and adequate payment from health maintenance organizations and other third-party payers;</w:t>
      </w:r>
    </w:p>
    <w:p>
      <w:pPr>
        <w:spacing w:after="0" w:line="250"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prevalence and severity of adverse side effects; and</w:t>
      </w:r>
    </w:p>
    <w:p>
      <w:pPr>
        <w:spacing w:after="0" w:line="250"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advantages over other treatment methods.</w:t>
      </w:r>
    </w:p>
    <w:p>
      <w:pPr>
        <w:spacing w:after="0" w:line="251" w:lineRule="exact"/>
        <w:rPr>
          <w:sz w:val="20"/>
          <w:szCs w:val="20"/>
          <w:color w:val="auto"/>
        </w:rPr>
      </w:pPr>
    </w:p>
    <w:p>
      <w:pPr>
        <w:ind w:right="100" w:firstLine="646"/>
        <w:spacing w:after="0" w:line="260" w:lineRule="auto"/>
        <w:rPr>
          <w:sz w:val="20"/>
          <w:szCs w:val="20"/>
          <w:color w:val="auto"/>
        </w:rPr>
      </w:pPr>
      <w:r>
        <w:rPr>
          <w:rFonts w:ascii="Times New Roman" w:cs="Times New Roman" w:eastAsia="Times New Roman" w:hAnsi="Times New Roman"/>
          <w:sz w:val="18"/>
          <w:szCs w:val="18"/>
          <w:color w:val="auto"/>
        </w:rPr>
        <w:t>As controlled substances, the products may generate public controversy. Physicians, patients, payers or the medical community may be unwilling to accept, use or recommend our drug candidates which would adversely affect our potential revenues and future profitability. Adverse publicity or public perception regarding cannabis and psilocybin to our investigational therapies using these substances may negatively influence the success of these therapies.</w:t>
      </w:r>
    </w:p>
    <w:p>
      <w:pPr>
        <w:spacing w:after="0" w:line="177" w:lineRule="exact"/>
        <w:rPr>
          <w:sz w:val="20"/>
          <w:szCs w:val="20"/>
          <w:color w:val="auto"/>
        </w:rPr>
      </w:pPr>
    </w:p>
    <w:p>
      <w:pPr>
        <w:ind w:right="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face competition from entities that may develop drug candidates for our target disease indications and from entities currently providing treatment to our target disease indications.</w:t>
      </w:r>
    </w:p>
    <w:p>
      <w:pPr>
        <w:spacing w:after="0" w:line="159" w:lineRule="exact"/>
        <w:rPr>
          <w:sz w:val="20"/>
          <w:szCs w:val="20"/>
          <w:color w:val="auto"/>
        </w:rPr>
      </w:pPr>
    </w:p>
    <w:p>
      <w:pPr>
        <w:ind w:right="40" w:firstLine="646"/>
        <w:spacing w:after="0" w:line="253" w:lineRule="auto"/>
        <w:rPr>
          <w:sz w:val="20"/>
          <w:szCs w:val="20"/>
          <w:color w:val="auto"/>
        </w:rPr>
      </w:pPr>
      <w:r>
        <w:rPr>
          <w:rFonts w:ascii="Times New Roman" w:cs="Times New Roman" w:eastAsia="Times New Roman" w:hAnsi="Times New Roman"/>
          <w:sz w:val="18"/>
          <w:szCs w:val="18"/>
          <w:color w:val="auto"/>
        </w:rPr>
        <w:t xml:space="preserve">The development and commercialization of drug candidates is highly competitive. We face or may face potential competition from many different sources, including major pharmaceutical, biopharmaceutical, specialty pharmaceutical and biotechnology companies, academic institutions, governmental agencies and medical research organizations. </w:t>
      </w:r>
      <w:r>
        <w:rPr>
          <w:rFonts w:ascii="Times New Roman" w:cs="Times New Roman" w:eastAsia="Times New Roman" w:hAnsi="Times New Roman"/>
          <w:sz w:val="18"/>
          <w:szCs w:val="18"/>
          <w:color w:val="212529"/>
        </w:rPr>
        <w:t>Many of our competitors may have significantly greater financial, manufacturing, marketing, drug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development, technical and human resources than we do. </w:t>
      </w:r>
      <w:r>
        <w:rPr>
          <w:rFonts w:ascii="Times New Roman" w:cs="Times New Roman" w:eastAsia="Times New Roman" w:hAnsi="Times New Roman"/>
          <w:sz w:val="18"/>
          <w:szCs w:val="18"/>
          <w:color w:val="000000"/>
        </w:rPr>
        <w:t>There may be a significant number of products that are currently under development, and may</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become commercially available in the future, for the treatment of conditions for which we are developing, and may in the future try to develop, drug candidates. Accordingly, our potential competitors may succeed in obtaining FDA or other regulatory approval for alternative or superior products. Any drug candidates that we successfully develop will compete with the standard of care and new therapies that may become available in the future. Competing products could present superior treatment alternatives, including by being more effective, safer, less expensive or marketed and sold more effectively than any products we may develop and may make any products we develop obsolete or non-competitive before we recover the expense of developing and commercializing our drug candidates.</w:t>
      </w:r>
    </w:p>
    <w:p>
      <w:pPr>
        <w:spacing w:after="0" w:line="188" w:lineRule="exact"/>
        <w:rPr>
          <w:sz w:val="20"/>
          <w:szCs w:val="20"/>
          <w:color w:val="auto"/>
        </w:rPr>
      </w:pPr>
    </w:p>
    <w:p>
      <w:pPr>
        <w:jc w:val="both"/>
        <w:ind w:right="100" w:firstLine="646"/>
        <w:spacing w:after="0" w:line="265" w:lineRule="auto"/>
        <w:rPr>
          <w:sz w:val="20"/>
          <w:szCs w:val="20"/>
          <w:color w:val="auto"/>
        </w:rPr>
      </w:pPr>
      <w:r>
        <w:rPr>
          <w:rFonts w:ascii="Times New Roman" w:cs="Times New Roman" w:eastAsia="Times New Roman" w:hAnsi="Times New Roman"/>
          <w:sz w:val="18"/>
          <w:szCs w:val="18"/>
          <w:color w:val="auto"/>
        </w:rPr>
        <w:t>Our competitors also may compete with us in recruiting and retaining qualified scientific and management personnel, in establishing clinical trial sites and enrolling subjects for our clinical trials and in acquiring technologies complementary to, or necessary for, our programs. These competitors could also recruit our employees, which could negatively affect our level of expertise and our ability to execute our business plan.</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00"/>
          </w:cols>
          <w:pgMar w:left="320" w:top="875"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Our drug candidates for which we obtain approval may face competition sooner than anticipated.</w:t>
      </w:r>
    </w:p>
    <w:p>
      <w:pPr>
        <w:spacing w:after="0" w:line="228" w:lineRule="exact"/>
        <w:rPr>
          <w:sz w:val="20"/>
          <w:szCs w:val="20"/>
          <w:color w:val="auto"/>
        </w:rPr>
      </w:pPr>
    </w:p>
    <w:p>
      <w:pPr>
        <w:ind w:right="20" w:firstLine="646"/>
        <w:spacing w:after="0" w:line="257" w:lineRule="auto"/>
        <w:rPr>
          <w:sz w:val="20"/>
          <w:szCs w:val="20"/>
          <w:color w:val="auto"/>
        </w:rPr>
      </w:pPr>
      <w:r>
        <w:rPr>
          <w:rFonts w:ascii="Times New Roman" w:cs="Times New Roman" w:eastAsia="Times New Roman" w:hAnsi="Times New Roman"/>
          <w:sz w:val="18"/>
          <w:szCs w:val="18"/>
          <w:color w:val="auto"/>
        </w:rPr>
        <w:t>Even if we are successful in achieving regulatory approval to commercialize a drug candidate ahead of a potential competitor, our future approved products may face direct competition from generic and other follow-on drug products. Any of our drug candidates that may achieve regulatory approval in the future may face competition from generic products earlier or more aggressively than anticipated, depending upon how well such approved products perform in the U.S. prescription drug market. Our ability to compete may also be affected in many cases by insurers or other third-party payors seeking to encourage the use of generic products.</w:t>
      </w:r>
    </w:p>
    <w:p>
      <w:pPr>
        <w:spacing w:after="0" w:line="185" w:lineRule="exact"/>
        <w:rPr>
          <w:sz w:val="20"/>
          <w:szCs w:val="20"/>
          <w:color w:val="auto"/>
        </w:rPr>
      </w:pPr>
    </w:p>
    <w:p>
      <w:pPr>
        <w:ind w:firstLine="646"/>
        <w:spacing w:after="0" w:line="253" w:lineRule="auto"/>
        <w:rPr>
          <w:sz w:val="20"/>
          <w:szCs w:val="20"/>
          <w:color w:val="auto"/>
        </w:rPr>
      </w:pPr>
      <w:r>
        <w:rPr>
          <w:rFonts w:ascii="Times New Roman" w:cs="Times New Roman" w:eastAsia="Times New Roman" w:hAnsi="Times New Roman"/>
          <w:sz w:val="18"/>
          <w:szCs w:val="18"/>
          <w:color w:val="auto"/>
        </w:rPr>
        <w:t>The Hatch-Waxman Amendments to the FDCA authorized the FDA to approve generic drugs that are the same as drugs previously approved for marketing under the NDA provisions of the statute pursuant to ANDAs, and also created the Section 505(b)(2) NDA pathway. An ANDA relies on the preclinical and clinical testing conducted for a previously approved reference listed drug and must demonstrate to the FDA that the generic drug product is identical to the RLD with respect to the active ingredients, the route of administration, the dosage form, and the strength of the drug and also that it is “bioequivalent” to the reference listed drug. In contrast, Section 505(b)(2) enables the applicant to rely, in part, on the FDA’s prior findings of safety and efficacy data for an existing product, or published literature, in support of its application. Section 505(b)(2) provides an alternate path to FDA approval for new or improved formulations or new uses of previously approved products; for example, a follow-on applicant may be seeking approval to market a previously approved drug for new indications or for a new patient population that would require new clinical data to demonstrate safety or effectiveness. Such products, if approved and depending upon the scope of the changes made to the reference drug, may also compete with any drug candidates for which we receive approval.</w:t>
      </w:r>
    </w:p>
    <w:p>
      <w:pPr>
        <w:spacing w:after="0" w:line="188" w:lineRule="exact"/>
        <w:rPr>
          <w:sz w:val="20"/>
          <w:szCs w:val="20"/>
          <w:color w:val="auto"/>
        </w:rPr>
      </w:pPr>
    </w:p>
    <w:p>
      <w:pPr>
        <w:ind w:firstLine="646"/>
        <w:spacing w:after="0" w:line="265" w:lineRule="auto"/>
        <w:rPr>
          <w:sz w:val="20"/>
          <w:szCs w:val="20"/>
          <w:color w:val="auto"/>
        </w:rPr>
      </w:pPr>
      <w:r>
        <w:rPr>
          <w:rFonts w:ascii="Times New Roman" w:cs="Times New Roman" w:eastAsia="Times New Roman" w:hAnsi="Times New Roman"/>
          <w:sz w:val="18"/>
          <w:szCs w:val="18"/>
          <w:color w:val="auto"/>
        </w:rPr>
        <w:t>The FDA is prohibited by statute from approving an ANDA or 505(b)(2) NDA when certain marketing or data exclusivity protections apply to the reference listed drug. However, if any competitor or third party is able to demonstrate bioequivalence without infringing our patents, then such competitor or third party may then be able to gain approval of an ANDA and introduce a competing generic product onto the market.</w:t>
      </w:r>
    </w:p>
    <w:p>
      <w:pPr>
        <w:spacing w:after="0" w:line="176" w:lineRule="exact"/>
        <w:rPr>
          <w:sz w:val="20"/>
          <w:szCs w:val="20"/>
          <w:color w:val="auto"/>
        </w:rPr>
      </w:pPr>
    </w:p>
    <w:p>
      <w:pPr>
        <w:ind w:firstLine="646"/>
        <w:spacing w:after="0" w:line="276" w:lineRule="auto"/>
        <w:rPr>
          <w:sz w:val="20"/>
          <w:szCs w:val="20"/>
          <w:color w:val="auto"/>
        </w:rPr>
      </w:pPr>
      <w:r>
        <w:rPr>
          <w:rFonts w:ascii="Times New Roman" w:cs="Times New Roman" w:eastAsia="Times New Roman" w:hAnsi="Times New Roman"/>
          <w:sz w:val="17"/>
          <w:szCs w:val="17"/>
          <w:color w:val="auto"/>
        </w:rPr>
        <w:t>Furthermore, the CREATES Act established a private cause of action that permits a generic product developer to sue the brand manufacturer to compel it to furnish necessary samples of an RLD on “commercially reasonable, market-based terms.” If generic developers request samples of any drug candidates for which we receive marketing approval in order to conduct comparative testing to support one or more ANDAs for a generic version of our products, and we refuse any such request, we may be subject to litigation under the CREATES Act. Although lawsuits have been filed under the CREATES Act since its enactment, those lawsuits have generally settled privately there continues to be uncertainty regarding the scope and application of the law.</w:t>
      </w:r>
    </w:p>
    <w:p>
      <w:pPr>
        <w:spacing w:after="0" w:line="169" w:lineRule="exact"/>
        <w:rPr>
          <w:sz w:val="20"/>
          <w:szCs w:val="20"/>
          <w:color w:val="auto"/>
        </w:rPr>
      </w:pPr>
    </w:p>
    <w:p>
      <w:pPr>
        <w:ind w:firstLine="646"/>
        <w:spacing w:after="0" w:line="252" w:lineRule="auto"/>
        <w:rPr>
          <w:sz w:val="20"/>
          <w:szCs w:val="20"/>
          <w:color w:val="auto"/>
        </w:rPr>
      </w:pPr>
      <w:r>
        <w:rPr>
          <w:rFonts w:ascii="Times New Roman" w:cs="Times New Roman" w:eastAsia="Times New Roman" w:hAnsi="Times New Roman"/>
          <w:sz w:val="18"/>
          <w:szCs w:val="18"/>
          <w:color w:val="auto"/>
        </w:rPr>
        <w:t>Settlements and related licensing agreements resulting from Hatch-Waxman litigation can be challenged and have the potential to generate additional litigation which can be costly. The success of such litigation depends on the strength of the patents covering our branded products and our ability to prove that the follow-on applicant’s product would infringe one or more such patents. The outcome of such litigation is inherently uncertain and may result in potential loss of any market exclusivity we may receive for our drug candidates, if approved, which may have a significant financial impact on our business. Furthermore, the Federal Trade Commission (“FTC”), has brought successful lawsuits challenging Hatch-Waxman litigation settlements as anti-competitive, and such decisions have been upheld by federal circuit courts. If we engage in Hatch-Waxman litigation, we may also face an FTC challenge with respect to any proposed settlement related to such litigation, which may result in additional expense or penalty. The FTC also has more recently been questioning pharmaceutical company patent listings in the Orange Book and raising concerns about “improper” listings that may be intended to discourage competition by follow-on drug developers, and certain members of Congress have been investigating similar issues. Accordingly, there could be future changes to federal laws, regulations, or guidelines related to Hatch-Waxman requirements or procedures that could have a material adverse impact on all pharmaceutical innovators, including us.</w:t>
      </w:r>
    </w:p>
    <w:p>
      <w:pPr>
        <w:spacing w:after="0" w:line="195" w:lineRule="exact"/>
        <w:rPr>
          <w:sz w:val="20"/>
          <w:szCs w:val="20"/>
          <w:color w:val="auto"/>
        </w:rPr>
      </w:pPr>
    </w:p>
    <w:p>
      <w:pPr>
        <w:ind w:right="20" w:firstLine="646"/>
        <w:spacing w:after="0" w:line="257" w:lineRule="auto"/>
        <w:rPr>
          <w:sz w:val="20"/>
          <w:szCs w:val="20"/>
          <w:color w:val="auto"/>
        </w:rPr>
      </w:pPr>
      <w:r>
        <w:rPr>
          <w:rFonts w:ascii="Times New Roman" w:cs="Times New Roman" w:eastAsia="Times New Roman" w:hAnsi="Times New Roman"/>
          <w:sz w:val="18"/>
          <w:szCs w:val="18"/>
          <w:color w:val="auto"/>
        </w:rPr>
        <w:t>We cannot predict the interest of potential follow-on competitors or how quickly others may seek to come to market with competing products, whether approved as a direct ANDA competitor or as a Section 505(b)(2) NDA referencing one of our future drug candidates. If the FDA approves generic versions of any of our products in the future, should they be approved for commercial marketing, such competitive products may be able to immediately compete with us in each indication for which our product has received approval, which could negatively impact our future revenue, profitability and cash flows and substantially limit our ability to obtain a return on our investments.</w:t>
      </w:r>
    </w:p>
    <w:p>
      <w:pPr>
        <w:spacing w:after="0" w:line="40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180"/>
          </w:cols>
          <w:pgMar w:left="320" w:top="871" w:right="399" w:bottom="1440" w:gutter="0" w:footer="0" w:header="0"/>
        </w:sectPr>
      </w:pPr>
    </w:p>
    <w:bookmarkStart w:id="55" w:name="page56"/>
    <w:bookmarkEnd w:id="55"/>
    <w:p>
      <w:pPr>
        <w:ind w:right="3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of our drug candidates, such products may become subject to unfavorable pricing regulations, third-party reimbursement practices or healthcare reform initiatives, which would harm our business.</w:t>
      </w:r>
    </w:p>
    <w:p>
      <w:pPr>
        <w:spacing w:after="0" w:line="159" w:lineRule="exact"/>
        <w:rPr>
          <w:sz w:val="20"/>
          <w:szCs w:val="20"/>
          <w:color w:val="auto"/>
        </w:rPr>
      </w:pPr>
    </w:p>
    <w:p>
      <w:pPr>
        <w:ind w:firstLine="646"/>
        <w:spacing w:after="0" w:line="254" w:lineRule="auto"/>
        <w:rPr>
          <w:sz w:val="20"/>
          <w:szCs w:val="20"/>
          <w:color w:val="auto"/>
        </w:rPr>
      </w:pPr>
      <w:r>
        <w:rPr>
          <w:rFonts w:ascii="Times New Roman" w:cs="Times New Roman" w:eastAsia="Times New Roman" w:hAnsi="Times New Roman"/>
          <w:sz w:val="18"/>
          <w:szCs w:val="18"/>
          <w:color w:val="auto"/>
        </w:rPr>
        <w:t>The regulations that govern marketing approvals, pricing, coverage and reimbursement for new drug products vary widely from country to country. Current and future legislation may change the approval requirements in ways that could involve additional costs and cause delays in obtaining approvals. Some countries require approval of the sale price of a drug before it can be marketed. In many countries, the pricing review period begins after marketing approval is granted and, in some markets, prescription pharmaceutical pricing remains subject to continuing governmental control even after initial approval is granted. As a result, we may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drug candidates, even if our drug candidates obtain marketing approval.</w:t>
      </w:r>
    </w:p>
    <w:p>
      <w:pPr>
        <w:spacing w:after="0" w:line="187" w:lineRule="exact"/>
        <w:rPr>
          <w:sz w:val="20"/>
          <w:szCs w:val="20"/>
          <w:color w:val="auto"/>
        </w:rPr>
      </w:pPr>
    </w:p>
    <w:p>
      <w:pPr>
        <w:ind w:right="20" w:firstLine="646"/>
        <w:spacing w:after="0" w:line="271" w:lineRule="auto"/>
        <w:rPr>
          <w:sz w:val="20"/>
          <w:szCs w:val="20"/>
          <w:color w:val="auto"/>
        </w:rPr>
      </w:pPr>
      <w:r>
        <w:rPr>
          <w:rFonts w:ascii="Times New Roman" w:cs="Times New Roman" w:eastAsia="Times New Roman" w:hAnsi="Times New Roman"/>
          <w:sz w:val="17"/>
          <w:szCs w:val="17"/>
          <w:color w:val="auto"/>
        </w:rPr>
        <w:t>Our or a partner’s ability to commercialize any drug candidates successfully also will depend in part on the extent to which coverage and reimbursement for these drug candidates and related treatments will be available from government authorities, private health insurers and other organizations. In the United States, reimbursement varies from payor to payor. Reimbursement agencies in Europe may be more conservative than federal healthcare programs or private health plans in the United States. A primary trend in the U.S. healthcare industry and elsewhere is cost containment. Government authorities and third-party payors have attempted to control costs by limiting coverage and the amount of payments for particular products. For example, payors may limit coverage to specific drug products on an approved list, also known as a formulary, which might not include all of the FDA-approved drugs for a particular indication. Payors may require use of alternative therapies or a demonstration that a product is medically necessary for a particular patient before use of a product will be covered. Additionally, payors may seek to control utilization by imposing prior authorization requirements.</w:t>
      </w:r>
    </w:p>
    <w:p>
      <w:pPr>
        <w:spacing w:after="0" w:line="174" w:lineRule="exact"/>
        <w:rPr>
          <w:sz w:val="20"/>
          <w:szCs w:val="20"/>
          <w:color w:val="auto"/>
        </w:rPr>
      </w:pPr>
    </w:p>
    <w:p>
      <w:pPr>
        <w:ind w:right="20" w:firstLine="646"/>
        <w:spacing w:after="0" w:line="257" w:lineRule="auto"/>
        <w:rPr>
          <w:sz w:val="20"/>
          <w:szCs w:val="20"/>
          <w:color w:val="auto"/>
        </w:rPr>
      </w:pPr>
      <w:r>
        <w:rPr>
          <w:rFonts w:ascii="Times New Roman" w:cs="Times New Roman" w:eastAsia="Times New Roman" w:hAnsi="Times New Roman"/>
          <w:sz w:val="18"/>
          <w:szCs w:val="18"/>
          <w:color w:val="auto"/>
        </w:rPr>
        <w:t>Increasingly, third-party payors are requiring that drug companies provide predetermined discounts from list prices and are challenging the prices charged for products. We cannot be sure that coverage will be available for any drug candidate that we commercialize and, if coverage is available, what the level of reimbursement will be. Reimbursement may impact the demand for, or the price of, any drug candidate for which we obtain marketing approval. Patients are unlikely to use our products, if they are approved for marketing, unless coverage is provided, and reimbursement is adequate to cover a significant portion of the cost of such products.</w:t>
      </w:r>
    </w:p>
    <w:p>
      <w:pPr>
        <w:spacing w:after="0" w:line="185" w:lineRule="exact"/>
        <w:rPr>
          <w:sz w:val="20"/>
          <w:szCs w:val="20"/>
          <w:color w:val="auto"/>
        </w:rPr>
      </w:pPr>
    </w:p>
    <w:p>
      <w:pPr>
        <w:ind w:right="20" w:firstLine="646"/>
        <w:spacing w:after="0" w:line="252"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FDA, EMA, MHRA or other comparable regulatory agencies.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federal healthcare programs or private payors and by any future relaxation of laws that presently restrict imports of drugs from countries where they may be sold at lower prices than in the United States. In the United States, third-party payors often rely upon Medicare coverage policy and payment limitations in setting their own reimbursement policies. In the European Union, reference pricing systems and other measures may lead to cost containment and reduced prices. Our inability to promptly obtain coverage and profitable payment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93" w:lineRule="exact"/>
        <w:rPr>
          <w:sz w:val="20"/>
          <w:szCs w:val="20"/>
          <w:color w:val="auto"/>
        </w:rPr>
      </w:pPr>
    </w:p>
    <w:p>
      <w:pPr>
        <w:ind w:right="120" w:firstLine="646"/>
        <w:spacing w:after="0" w:line="257" w:lineRule="auto"/>
        <w:rPr>
          <w:sz w:val="20"/>
          <w:szCs w:val="20"/>
          <w:color w:val="auto"/>
        </w:rPr>
      </w:pPr>
      <w:r>
        <w:rPr>
          <w:rFonts w:ascii="Times New Roman" w:cs="Times New Roman" w:eastAsia="Times New Roman" w:hAnsi="Times New Roman"/>
          <w:sz w:val="18"/>
          <w:szCs w:val="18"/>
          <w:color w:val="auto"/>
        </w:rPr>
        <w:t>Further, there have been, and may continue to be, legislative and regulatory proposals at the U.S. federal and state levels and in other jurisdictions directed at broadening the availability and containing or lowering the cost of healthcare. The continuing efforts of the government, insurance companies, managed care organizations and other third-party payors to contain or reduce costs of healthcare may adversely affect our ability to set prices for our products that would allow us to achieve or sustain profitability. In addition, governments may impose price controls on any of our products that obtain marketing approval, which may adversely affect our future profitability.</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56" w:name="page57"/>
    <w:bookmarkEnd w:id="56"/>
    <w:p>
      <w:pPr>
        <w:ind w:firstLine="646"/>
        <w:spacing w:after="0" w:line="255" w:lineRule="auto"/>
        <w:rPr>
          <w:sz w:val="20"/>
          <w:szCs w:val="20"/>
          <w:color w:val="auto"/>
        </w:rPr>
      </w:pPr>
      <w:r>
        <w:rPr>
          <w:rFonts w:ascii="Times New Roman" w:cs="Times New Roman" w:eastAsia="Times New Roman" w:hAnsi="Times New Roman"/>
          <w:sz w:val="18"/>
          <w:szCs w:val="18"/>
          <w:color w:val="auto"/>
        </w:rPr>
        <w:t>Most recently, in August 2022, President Biden signed into the law the Inflation Reduction Act of 2022, which among other things, contains multiple provisions that may impact the prices of drug products that are both sold into the Medicare program and throughout the United States, including mandatory rebates to the federal government if a drug product’s price increases faster than the rate of inflation and direct government negotiation of drug prices for certain Part D drugs (starting for payment year 2026) and Part B drugs (starting for payment year 2028). If a drug product is selected by CMS for negotiation, it is expected that the revenue generated from such drug will decrease. Additional state and federal healthcare reform measures are expected to be adopted in the future, any of which could limit the amounts that federal and state governments will pay for healthcare products and services, which could result in reduced demand for certain pharmaceutical products or additional pricing pressures.</w:t>
      </w:r>
    </w:p>
    <w:p>
      <w:pPr>
        <w:spacing w:after="0" w:line="184" w:lineRule="exact"/>
        <w:rPr>
          <w:sz w:val="20"/>
          <w:szCs w:val="20"/>
          <w:color w:val="auto"/>
        </w:rPr>
      </w:pPr>
    </w:p>
    <w:p>
      <w:pPr>
        <w:ind w:right="160" w:firstLine="646"/>
        <w:spacing w:after="0" w:line="252" w:lineRule="auto"/>
        <w:rPr>
          <w:sz w:val="20"/>
          <w:szCs w:val="20"/>
          <w:color w:val="auto"/>
        </w:rPr>
      </w:pPr>
      <w:r>
        <w:rPr>
          <w:rFonts w:ascii="Times New Roman" w:cs="Times New Roman" w:eastAsia="Times New Roman" w:hAnsi="Times New Roman"/>
          <w:sz w:val="18"/>
          <w:szCs w:val="18"/>
          <w:color w:val="auto"/>
        </w:rPr>
        <w:t>In some other countries, particularly the Member States of the European Union, the pricing of prescription pharmaceuticals is subject to governmental control. In these countries, pricing negotiations with governmental authorities can be a long and expensive process after the receipt of marketing approval for a drug candidate.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may be required to conduct additional clinical trials that compare the cost-effectiveness of our drug candidates to other available therapies in order to obtain reimbursement or pricing approval. Publication of discounts by third-party payors or authorities may lead to further pressure on prices or reimbursement levels within the country of publication and other countries. If reimbursement of our products is unavailable or limited in scope or amount in a particular country, or if pricing is set at unsatisfactory levels, we may be unable to successfully commercialize and achieve or sustain profitability for sales of any of our drug candidates that are approved for marketing in that country and our business could be adversely affected.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become exposed to product liability claims that could adversely affect our business.</w:t>
      </w:r>
    </w:p>
    <w:p>
      <w:pPr>
        <w:spacing w:after="0" w:line="228" w:lineRule="exact"/>
        <w:rPr>
          <w:sz w:val="20"/>
          <w:szCs w:val="20"/>
          <w:color w:val="auto"/>
        </w:rPr>
      </w:pPr>
    </w:p>
    <w:p>
      <w:pPr>
        <w:ind w:right="120" w:firstLine="646"/>
        <w:spacing w:after="0" w:line="281" w:lineRule="auto"/>
        <w:rPr>
          <w:sz w:val="20"/>
          <w:szCs w:val="20"/>
          <w:color w:val="auto"/>
        </w:rPr>
      </w:pPr>
      <w:r>
        <w:rPr>
          <w:rFonts w:ascii="Times New Roman" w:cs="Times New Roman" w:eastAsia="Times New Roman" w:hAnsi="Times New Roman"/>
          <w:sz w:val="18"/>
          <w:szCs w:val="18"/>
          <w:color w:val="auto"/>
        </w:rPr>
        <w:t>The testing, marketing and sale of therapeutic products entails an inherent risk of product liability. We rely on a number of third-party researchers and contractors to produce, collect, and analyze data regarding the safety and efficacy of our drug candidates.</w:t>
      </w:r>
    </w:p>
    <w:p>
      <w:pPr>
        <w:spacing w:after="0" w:line="162" w:lineRule="exact"/>
        <w:rPr>
          <w:sz w:val="20"/>
          <w:szCs w:val="20"/>
          <w:color w:val="auto"/>
        </w:rPr>
      </w:pPr>
    </w:p>
    <w:p>
      <w:pPr>
        <w:ind w:right="200" w:firstLine="646"/>
        <w:spacing w:after="0" w:line="288" w:lineRule="auto"/>
        <w:rPr>
          <w:sz w:val="20"/>
          <w:szCs w:val="20"/>
          <w:color w:val="auto"/>
        </w:rPr>
      </w:pPr>
      <w:r>
        <w:rPr>
          <w:rFonts w:ascii="Times New Roman" w:cs="Times New Roman" w:eastAsia="Times New Roman" w:hAnsi="Times New Roman"/>
          <w:sz w:val="17"/>
          <w:szCs w:val="17"/>
          <w:color w:val="auto"/>
        </w:rPr>
        <w:t>Notwithstanding our control procedures, we may face product liability exposure related to the testing of our drug candidates in human clinical trials. If any of our drug candidates are approved for sale, we may face exposure to claims by an even greater number of people than were involved in the clinical trials once marketing, distribution and sales of our drug candidates begin. Regardless of merit or eventual outcome, liability claims may result in:</w:t>
      </w:r>
    </w:p>
    <w:p>
      <w:pPr>
        <w:spacing w:after="0" w:line="158" w:lineRule="exact"/>
        <w:rPr>
          <w:sz w:val="20"/>
          <w:szCs w:val="20"/>
          <w:color w:val="auto"/>
        </w:rPr>
      </w:pPr>
    </w:p>
    <w:p>
      <w:pPr>
        <w:ind w:left="980" w:hanging="326"/>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drug candidates;</w:t>
      </w:r>
    </w:p>
    <w:p>
      <w:pPr>
        <w:spacing w:after="0" w:line="250"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w:t>
      </w:r>
    </w:p>
    <w:p>
      <w:pPr>
        <w:spacing w:after="0" w:line="250"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50"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related litigation;</w:t>
      </w:r>
    </w:p>
    <w:p>
      <w:pPr>
        <w:spacing w:after="0" w:line="250"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 and others;</w:t>
      </w:r>
    </w:p>
    <w:p>
      <w:pPr>
        <w:spacing w:after="0" w:line="250"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revenues; and</w:t>
      </w:r>
    </w:p>
    <w:p>
      <w:pPr>
        <w:spacing w:after="0" w:line="250"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drug candidates.</w:t>
      </w:r>
    </w:p>
    <w:p>
      <w:pPr>
        <w:spacing w:after="0" w:line="251" w:lineRule="exact"/>
        <w:rPr>
          <w:sz w:val="20"/>
          <w:szCs w:val="20"/>
          <w:color w:val="auto"/>
        </w:rPr>
      </w:pPr>
    </w:p>
    <w:p>
      <w:pPr>
        <w:jc w:val="both"/>
        <w:ind w:right="60" w:firstLine="646"/>
        <w:spacing w:after="0" w:line="265" w:lineRule="auto"/>
        <w:rPr>
          <w:sz w:val="20"/>
          <w:szCs w:val="20"/>
          <w:color w:val="auto"/>
        </w:rPr>
      </w:pPr>
      <w:r>
        <w:rPr>
          <w:rFonts w:ascii="Times New Roman" w:cs="Times New Roman" w:eastAsia="Times New Roman" w:hAnsi="Times New Roman"/>
          <w:sz w:val="18"/>
          <w:szCs w:val="18"/>
          <w:color w:val="auto"/>
        </w:rPr>
        <w:t>With respect to product liability claims, we could face additional liability beyond insurance limits if testing mistakes were to endanger any human subjects. In addition, if a claim is made against us in conjunction with these research testing activities, the market price of our shares of common stock may be negatively affected.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shipment delays could have a material adverse effect on our business, results of operations and financial condition.</w:t>
      </w:r>
    </w:p>
    <w:p>
      <w:pPr>
        <w:spacing w:after="0" w:line="228" w:lineRule="exact"/>
        <w:rPr>
          <w:sz w:val="20"/>
          <w:szCs w:val="20"/>
          <w:color w:val="auto"/>
        </w:rPr>
      </w:pPr>
    </w:p>
    <w:p>
      <w:pPr>
        <w:ind w:right="20" w:firstLine="646"/>
        <w:spacing w:after="0" w:line="255" w:lineRule="auto"/>
        <w:rPr>
          <w:sz w:val="20"/>
          <w:szCs w:val="20"/>
          <w:color w:val="auto"/>
        </w:rPr>
      </w:pPr>
      <w:r>
        <w:rPr>
          <w:rFonts w:ascii="Times New Roman" w:cs="Times New Roman" w:eastAsia="Times New Roman" w:hAnsi="Times New Roman"/>
          <w:sz w:val="18"/>
          <w:szCs w:val="18"/>
          <w:color w:val="auto"/>
        </w:rPr>
        <w:t>The shipment, import and export of our drug candidates and the APIs used to manufacture them, along with the drugs used in our psychedelic-assisted psychotherapy services, will require import and export licenses. In the United States, the FDA, U.S. Customs and Border Protection, and the DEA; in Canada, the Canada Border Services Agency, Health Canada; in Europe, the EMA and the European Commission; in Australia and New Zealand, the Australian Customs and Board Protection Service, the TGA, the New Zealand Medicines and Medical Device Safety Authority and the New Zealand Customs Service; and in other countries, similar regulatory authorities, regulate the import and export of pharmaceutical products that contain controlled substances. Specifically, the import and export processes require the issuance of import and export licenses by the relevant controlled substance authority in both the importing and exporting country.</w:t>
      </w:r>
    </w:p>
    <w:p>
      <w:pPr>
        <w:spacing w:after="0" w:line="184" w:lineRule="exact"/>
        <w:rPr>
          <w:sz w:val="20"/>
          <w:szCs w:val="20"/>
          <w:color w:val="auto"/>
        </w:rPr>
      </w:pPr>
    </w:p>
    <w:p>
      <w:pPr>
        <w:ind w:right="80" w:firstLine="646"/>
        <w:spacing w:after="0" w:line="256" w:lineRule="auto"/>
        <w:rPr>
          <w:sz w:val="20"/>
          <w:szCs w:val="20"/>
          <w:color w:val="auto"/>
        </w:rPr>
      </w:pPr>
      <w:r>
        <w:rPr>
          <w:rFonts w:ascii="Times New Roman" w:cs="Times New Roman" w:eastAsia="Times New Roman" w:hAnsi="Times New Roman"/>
          <w:sz w:val="18"/>
          <w:szCs w:val="18"/>
          <w:color w:val="auto"/>
        </w:rPr>
        <w:t>We may not be granted, or if granted, maintain, such licenses from the authorities in certain countries. Even if we obtain the relevant licenses, shipments of API and our drug candidates may be held up or lost in transit, which could cause significant delays and may lead to product batches being stored outside required temperature ranges. Inappropriate storage may damage the product shipment resulting in delays in clinical trials or, upon commercialization, a partial or total loss of revenue from one or more shipments of API or our drug candidates. A delay in a clinical trial or, upon commercialization, a partial or total loss of revenue from one or more shipments of API or our drug candidates, could have a material adverse effect on our business, results of operations and financial condition.</w:t>
      </w:r>
    </w:p>
    <w:p>
      <w:pPr>
        <w:spacing w:after="0" w:line="180" w:lineRule="exact"/>
        <w:rPr>
          <w:sz w:val="20"/>
          <w:szCs w:val="20"/>
          <w:color w:val="auto"/>
        </w:rPr>
      </w:pPr>
    </w:p>
    <w:p>
      <w:pPr>
        <w:ind w:right="2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drug candidates will be subject to controlled substance laws and regulations. Failure to receive necessary approvals may delay the launch of our drug candidates and failure to comply with these laws and regulations may adversely affect the results of our business operations.</w:t>
      </w:r>
    </w:p>
    <w:p>
      <w:pPr>
        <w:spacing w:after="0" w:line="159" w:lineRule="exact"/>
        <w:rPr>
          <w:sz w:val="20"/>
          <w:szCs w:val="20"/>
          <w:color w:val="auto"/>
        </w:rPr>
      </w:pPr>
    </w:p>
    <w:p>
      <w:pPr>
        <w:jc w:val="both"/>
        <w:ind w:right="80" w:firstLine="646"/>
        <w:spacing w:after="0" w:line="265" w:lineRule="auto"/>
        <w:rPr>
          <w:sz w:val="20"/>
          <w:szCs w:val="20"/>
          <w:color w:val="auto"/>
        </w:rPr>
      </w:pPr>
      <w:r>
        <w:rPr>
          <w:rFonts w:ascii="Times New Roman" w:cs="Times New Roman" w:eastAsia="Times New Roman" w:hAnsi="Times New Roman"/>
          <w:sz w:val="18"/>
          <w:szCs w:val="18"/>
          <w:color w:val="auto"/>
        </w:rPr>
        <w:t xml:space="preserve">Our drug candidates contain controlled substances as defined in the CSA. For a description of the CSA requirements, as enforced by the DEA, on facilities researching, manufacturing, distributing, dispensing, importing, or exporting controlled substances, see “Regulatory Authorities – United States – </w:t>
      </w:r>
      <w:r>
        <w:rPr>
          <w:rFonts w:ascii="Times New Roman" w:cs="Times New Roman" w:eastAsia="Times New Roman" w:hAnsi="Times New Roman"/>
          <w:sz w:val="18"/>
          <w:szCs w:val="18"/>
          <w:u w:val="single" w:color="auto"/>
          <w:color w:val="auto"/>
        </w:rPr>
        <w:t>Regulation of Controlled Substances.”</w:t>
      </w:r>
    </w:p>
    <w:p>
      <w:pPr>
        <w:spacing w:after="0" w:line="176" w:lineRule="exact"/>
        <w:rPr>
          <w:sz w:val="20"/>
          <w:szCs w:val="20"/>
          <w:color w:val="auto"/>
        </w:rPr>
      </w:pPr>
    </w:p>
    <w:p>
      <w:pPr>
        <w:ind w:right="60" w:firstLine="646"/>
        <w:spacing w:after="0" w:line="253" w:lineRule="auto"/>
        <w:rPr>
          <w:sz w:val="20"/>
          <w:szCs w:val="20"/>
          <w:color w:val="auto"/>
        </w:rPr>
      </w:pPr>
      <w:r>
        <w:rPr>
          <w:rFonts w:ascii="Times New Roman" w:cs="Times New Roman" w:eastAsia="Times New Roman" w:hAnsi="Times New Roman"/>
          <w:sz w:val="18"/>
          <w:szCs w:val="18"/>
          <w:color w:val="auto"/>
        </w:rPr>
        <w:t>Our lead drug candidates are based on synthetic cannabinoids and psilocybin, which are both currently classified as Schedule I controlled substances by the DEA. However, products that obtain marketing approval for medical use in the United States that contain cannabis, cannabis extracts, or psilocybin should be placed in Schedules II-V, since approval by the FDA satisfies the “accepted medical use” requirement. If and when any of our future drug candidates receive FDA approval, the DEA will make a scheduling determination. The scheduling process may take significantly longer than the 90-day deadline set forth in the CSA, thereby delaying the launch of our drug candidates in the United States. If the FDA, the DEA or any international regulatory authority determines that our future drug candidates may have potential for abuse, it may require us to generate more clinical or other data than we currently anticipate to establish whether or to what extent our drug candidate has an abuse potential, which could increase the development costs and/or delay the marketing approval and launch of that product. In addition, drug candidates containing controlled substances are subject to DEA regulations relating to manufacturing, storage, distribution and physician prescription procedures, including:</w:t>
      </w:r>
    </w:p>
    <w:p>
      <w:pPr>
        <w:spacing w:after="0" w:line="189" w:lineRule="exact"/>
        <w:rPr>
          <w:sz w:val="20"/>
          <w:szCs w:val="20"/>
          <w:color w:val="auto"/>
        </w:rPr>
      </w:pPr>
    </w:p>
    <w:p>
      <w:pPr>
        <w:ind w:left="980" w:hanging="326"/>
        <w:spacing w:after="0" w:line="253"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DEA registration and inspection of facilities</w:t>
      </w:r>
      <w:r>
        <w:rPr>
          <w:rFonts w:ascii="Times New Roman" w:cs="Times New Roman" w:eastAsia="Times New Roman" w:hAnsi="Times New Roman"/>
          <w:sz w:val="18"/>
          <w:szCs w:val="18"/>
          <w:color w:val="auto"/>
        </w:rPr>
        <w:t>. Facilities conducting research, manufacturing, distributing, importing or exporting, or dispensing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controlled substances must be registered to perform these activities and have the security, control, recordkeeping, reporting and inventory mechanisms required by the DEA to prevent drug loss and diversion. All these facilities must renew their registrations annually, except dispensing facilities, which must renew every three years. The DEA conducts periodic inspections of certain registered establishments that handle controlled substances. We will need to identify wholesale distributors with the appropriate DEA registrations and authority to distribute the products to pharmacies and other healthcare providers, and these distributors would need to obtain Schedule II or III distribution registrations. Obtaining and maintaining the necessary registrations may result in delay of the importation, manufacturing or distribution of our drug candidates. If we fail to obtain or maintain the necessary registrations, the DEA may seek civil penalties, refuse to renew necessary registrations or initiate proceedings to restrict, suspend or revoke those registrations. In certain circumstances, violations could lead to criminal proceedings.</w:t>
      </w:r>
    </w:p>
    <w:p>
      <w:pPr>
        <w:spacing w:after="0" w:line="188" w:lineRule="exact"/>
        <w:rPr>
          <w:rFonts w:ascii="Times New Roman" w:cs="Times New Roman" w:eastAsia="Times New Roman" w:hAnsi="Times New Roman"/>
          <w:sz w:val="18"/>
          <w:szCs w:val="18"/>
          <w:color w:val="auto"/>
        </w:rPr>
      </w:pPr>
    </w:p>
    <w:p>
      <w:pPr>
        <w:ind w:left="980" w:right="40" w:hanging="326"/>
        <w:spacing w:after="0" w:line="254"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State-Controlled Substance Laws</w:t>
      </w:r>
      <w:r>
        <w:rPr>
          <w:rFonts w:ascii="Times New Roman" w:cs="Times New Roman" w:eastAsia="Times New Roman" w:hAnsi="Times New Roman"/>
          <w:sz w:val="18"/>
          <w:szCs w:val="18"/>
          <w:color w:val="auto"/>
        </w:rPr>
        <w:t>. Individual states have also established controlled substance laws and regulations. We, our third-party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manufacturers, our distributors or our other partners must obtain applicable DEA and state registrations, permits or licenses, as applicable, in order to be able to obtain, manufacture, process, handle, distribute, import or export controlled substances for clinical trials or commercial sale. While some states automatically schedule a drug based on federal action, other states schedule drugs through rulemaking or a legislative action. State scheduling may delay commercial sale of any product for which we obtain FDA approval, and adverse scheduling could have a material adverse effect on the commercial sales of such product. Failure to meet applicable regulatory requirements could lead to enforcement and sanctions by the states in addition to those from the DEA or otherwise arising under federal law, which could have a material adverse effect on our business,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58" w:name="page59"/>
    <w:bookmarkEnd w:id="58"/>
    <w:p>
      <w:pPr>
        <w:ind w:left="980" w:right="220" w:hanging="326"/>
        <w:spacing w:after="0" w:line="255"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Clinical trials</w:t>
      </w:r>
      <w:r>
        <w:rPr>
          <w:rFonts w:ascii="Times New Roman" w:cs="Times New Roman" w:eastAsia="Times New Roman" w:hAnsi="Times New Roman"/>
          <w:sz w:val="18"/>
          <w:szCs w:val="18"/>
          <w:color w:val="auto"/>
        </w:rPr>
        <w:t>. To conduct clinical trials with any of our investigational drug candidates that fall into categories of substances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“controlled substances,” each of our research sites must submit a research protocol to the DEA and obtain and maintain a DEA researcher registration that will allow those sites to handle and dispense our drug candidates and to obtain the product from our importer. If the DEA delays or denies the grant of a researcher registration to one or more research sites, the clinical trial could be significantly delayed, and we could lose clinical trial sites. The importer for the clinical trials must also obtain a Schedule I importer registration and an import permit for each import. We do not currently conduct any manufacturing or repackaging/relabeling of any of our drug candidates or their active ingredients in the United States.</w:t>
      </w:r>
    </w:p>
    <w:p>
      <w:pPr>
        <w:spacing w:after="0" w:line="184" w:lineRule="exact"/>
        <w:rPr>
          <w:rFonts w:ascii="Times New Roman" w:cs="Times New Roman" w:eastAsia="Times New Roman" w:hAnsi="Times New Roman"/>
          <w:sz w:val="18"/>
          <w:szCs w:val="18"/>
          <w:color w:val="auto"/>
        </w:rPr>
      </w:pPr>
    </w:p>
    <w:p>
      <w:pPr>
        <w:ind w:left="980" w:hanging="326"/>
        <w:spacing w:after="0" w:line="252"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Importation</w:t>
      </w:r>
      <w:r>
        <w:rPr>
          <w:rFonts w:ascii="Times New Roman" w:cs="Times New Roman" w:eastAsia="Times New Roman" w:hAnsi="Times New Roman"/>
          <w:sz w:val="18"/>
          <w:szCs w:val="18"/>
          <w:color w:val="auto"/>
        </w:rPr>
        <w:t>. If our drug candidates are approved and classified as a Schedule II, III or IV substance, an importer can import them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purposes if it obtains an importer registration and files an application for an import permit for each import. The DEA provides annual assessments/estimates to the International Narcotics Control Board, which guides the DEA in the amounts of controlled substances that the DEA authorizes to be imported. The failure to identify an importer or obtain the necessary import authority, including specific quantities, could affect the availability of our drug candidates. In addition, an application for a Schedule II importer registration must be published in the Federal Register, and there is a waiting period for third-party comments to be submitted. It is always possible that adverse comments may delay the grant of an importer registration. If our drug candidates are approved and classified as a Schedule II controlled substance, federal law may prohibit the import of the substance for commercial purposes. If our drug candidates are listed as a Schedule II substance, we will not be allowed to import the drug for commercial purposes unless the DEA determines that domestic supplies are inadequate or there is inadequate domestic competition among domestic manufacturers for the substance as defined by the DEA. Moreover, Schedule I controlled substances have never been registered with the DEA for importation for commercial purposes, only for scientific and research needs. Therefore, if neither our drug candidates nor our drug substances could be imported, the drug candidates would have to be wholly manufactured in the United States, and we would need to secure a manufacturer that would be required to obtain and maintain a separate DEA registration for that activity. The failure to maintain the necessary registrations or comply with applicable laws could delay the commercialization of our drug candidates and could delay the completion of the clinical studies.</w:t>
      </w:r>
    </w:p>
    <w:p>
      <w:pPr>
        <w:spacing w:after="0" w:line="187" w:lineRule="exact"/>
        <w:rPr>
          <w:rFonts w:ascii="Times New Roman" w:cs="Times New Roman" w:eastAsia="Times New Roman" w:hAnsi="Times New Roman"/>
          <w:sz w:val="18"/>
          <w:szCs w:val="18"/>
          <w:color w:val="auto"/>
        </w:rPr>
      </w:pPr>
    </w:p>
    <w:p>
      <w:pPr>
        <w:ind w:left="980" w:hanging="326"/>
        <w:spacing w:after="0" w:line="253" w:lineRule="auto"/>
        <w:tabs>
          <w:tab w:leader="none" w:pos="9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Distribution in the United States</w:t>
      </w:r>
      <w:r>
        <w:rPr>
          <w:rFonts w:ascii="Times New Roman" w:cs="Times New Roman" w:eastAsia="Times New Roman" w:hAnsi="Times New Roman"/>
          <w:sz w:val="18"/>
          <w:szCs w:val="18"/>
          <w:color w:val="auto"/>
        </w:rPr>
        <w:t>. If our drug candidates are scheduled as Schedule II, III or IV, we would also need to identify wholesale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distributors with the appropriate DEA registrations and authority to distribute our drug candidates and any future drug candidates. These distributors would need to obtain Schedule II, III or IV distribution registrations. This limitation in the ability to distribute our drug candidates more broadly may limit commercial uptake and could negatively impact our prospects. The failure to obtain, or delay in obtaining, or the loss of any of those registrations could result in increased costs. If our drug candidates are a Schedule II drug, participants in our supply chain may have to maintain enhanced security with alarms and monitoring systems and they may be required to adhere to recordkeeping and inventory requirements. This may discourage some pharmacies from carrying the product. In addition, our drug candidates will likely be determined to have a high potential for abuse and therefore required to be administered at our trial sites, which could limit commercial updates. Furthermore, state and federal enforcement actions, regulatory requirements and legislation intended to reduce prescription drug abuse, such as the requirement that physicians consult a state prescription drug monitoring program, may make physicians less willing to prescribe, and pharmacies to dispense, Schedule II products.</w:t>
      </w:r>
    </w:p>
    <w:p>
      <w:pPr>
        <w:spacing w:after="0" w:line="188" w:lineRule="exact"/>
        <w:rPr>
          <w:sz w:val="20"/>
          <w:szCs w:val="20"/>
          <w:color w:val="auto"/>
        </w:rPr>
      </w:pPr>
    </w:p>
    <w:p>
      <w:pPr>
        <w:ind w:right="420" w:firstLine="646"/>
        <w:spacing w:after="0" w:line="260" w:lineRule="auto"/>
        <w:rPr>
          <w:sz w:val="20"/>
          <w:szCs w:val="20"/>
          <w:color w:val="auto"/>
        </w:rPr>
      </w:pPr>
      <w:r>
        <w:rPr>
          <w:rFonts w:ascii="Times New Roman" w:cs="Times New Roman" w:eastAsia="Times New Roman" w:hAnsi="Times New Roman"/>
          <w:sz w:val="18"/>
          <w:szCs w:val="18"/>
          <w:color w:val="auto"/>
        </w:rPr>
        <w:t>In May 2024, the DEA published a notice of proposed rulemaking to reschedule marijuana (the cannabis plant and the various compounds, manufactures, salts, derivatives, mixtures, or preparations from it) from Schedule I to Schedule III. Even if a final rule rescheduling marijuana is implemented, we, our third-party manufacturers, or our other partners must still comply with all CSA requirements and DEA regulations applicable to Schedule III controlled substances with respect to our cannabinoid-based drug candidates.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59" w:name="page60"/>
    <w:bookmarkEnd w:id="59"/>
    <w:p>
      <w:pPr>
        <w:ind w:right="40" w:firstLine="646"/>
        <w:spacing w:after="0" w:line="260" w:lineRule="auto"/>
        <w:rPr>
          <w:sz w:val="20"/>
          <w:szCs w:val="20"/>
          <w:color w:val="auto"/>
        </w:rPr>
      </w:pPr>
      <w:r>
        <w:rPr>
          <w:rFonts w:ascii="Times New Roman" w:cs="Times New Roman" w:eastAsia="Times New Roman" w:hAnsi="Times New Roman"/>
          <w:sz w:val="18"/>
          <w:szCs w:val="18"/>
          <w:color w:val="auto"/>
        </w:rPr>
        <w:t>We intend to contract with manufacturers in Australia to produce API and supplies of the finished drug candidate for our clinical trials. In addition, we may decide to develop, manufacture or commercialize our drug candidates in additional countries. As a result, we will also be subject to controlled substance laws and regulations from the TGA in Australia and from other regulatory agencies in other countries where we develop, manufacture or commercialize our drug candidates in the future.</w:t>
      </w:r>
    </w:p>
    <w:p>
      <w:pPr>
        <w:spacing w:after="0" w:line="181" w:lineRule="exact"/>
        <w:rPr>
          <w:sz w:val="20"/>
          <w:szCs w:val="20"/>
          <w:color w:val="auto"/>
        </w:rPr>
      </w:pPr>
    </w:p>
    <w:p>
      <w:pPr>
        <w:ind w:right="80" w:firstLine="646"/>
        <w:spacing w:after="0" w:line="252" w:lineRule="auto"/>
        <w:rPr>
          <w:sz w:val="20"/>
          <w:szCs w:val="20"/>
          <w:color w:val="auto"/>
        </w:rPr>
      </w:pPr>
      <w:r>
        <w:rPr>
          <w:rFonts w:ascii="Times New Roman" w:cs="Times New Roman" w:eastAsia="Times New Roman" w:hAnsi="Times New Roman"/>
          <w:sz w:val="18"/>
          <w:szCs w:val="18"/>
          <w:color w:val="auto"/>
        </w:rPr>
        <w:t>Other countries may have different laws and regulations with which we will be required to comply. For example, EU legislation does not establish different classes of narcotic or psychotropic substances. However, the United Nations (“UN”), Single Convention on Narcotic Drugs of 1961 and the UN Convention on Psychotropic Substances of 1971 (the “UN Conventions”) codify internationally applicable control measures to ensure the availability of narcotic drugs and psychotropic substances for medical and scientific purposes. The individual EU member states are all signatories to these UN Conventions. All signatories have a dual obligation to ensure that these substances are available for medical purposes and to protect populations against abuse and dependence. The UN Conventions regulate narcotic drugs and psychotropic substances as Schedule I, II, III, IV substances with Schedule II substances presenting the lowest relative risk of abuse among such substances and Schedule I and IV substances considered to present the highest risk of abuse. The UN Conventions require signatories to require all people manufacturing, trading (including exporting and importing) or distributing controlled substances to obtain a license from the relevant authority. Each individual export or import of a controlled substance must also be subject to authorization. The obligations provided in the UN Conventions and additional requirements are implemented at a national level, and requirements may vary from one member state to another. In order to develop and commercialize our products in the EU, we need to comply with the national requirements related to controlled substances which are costly and may affect our development plans in the EU.</w:t>
      </w:r>
    </w:p>
    <w:p>
      <w:pPr>
        <w:spacing w:after="0" w:line="193" w:lineRule="exact"/>
        <w:rPr>
          <w:sz w:val="20"/>
          <w:szCs w:val="20"/>
          <w:color w:val="auto"/>
        </w:rPr>
      </w:pPr>
    </w:p>
    <w:p>
      <w:pPr>
        <w:ind w:right="400" w:firstLine="646"/>
        <w:spacing w:after="0" w:line="281" w:lineRule="auto"/>
        <w:rPr>
          <w:sz w:val="20"/>
          <w:szCs w:val="20"/>
          <w:color w:val="auto"/>
        </w:rPr>
      </w:pPr>
      <w:r>
        <w:rPr>
          <w:rFonts w:ascii="Times New Roman" w:cs="Times New Roman" w:eastAsia="Times New Roman" w:hAnsi="Times New Roman"/>
          <w:sz w:val="18"/>
          <w:szCs w:val="18"/>
          <w:color w:val="auto"/>
        </w:rPr>
        <w:t>Failure to comply with applicable legal requirements could lead to enforcement and sanctions by the responsible regulatory authorities, which could have a material adverse effect on our business, financial condition and results of operations</w:t>
      </w:r>
    </w:p>
    <w:p>
      <w:pPr>
        <w:spacing w:after="0" w:line="158" w:lineRule="exact"/>
        <w:rPr>
          <w:sz w:val="20"/>
          <w:szCs w:val="20"/>
          <w:color w:val="auto"/>
        </w:rPr>
      </w:pPr>
    </w:p>
    <w:p>
      <w:pPr>
        <w:jc w:val="both"/>
        <w:ind w:right="30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and third-party payors will be subject to applicable anti-kickback, fraud and abuse and other healthcare laws and regulations, which could expose us to criminal sanctions, substantial civil penalties, contractual damages, reputational harm and diminished profits and future earnings.</w:t>
      </w:r>
    </w:p>
    <w:p>
      <w:pPr>
        <w:spacing w:after="0" w:line="175" w:lineRule="exact"/>
        <w:rPr>
          <w:sz w:val="20"/>
          <w:szCs w:val="20"/>
          <w:color w:val="auto"/>
        </w:rPr>
      </w:pPr>
    </w:p>
    <w:p>
      <w:pPr>
        <w:ind w:right="20" w:firstLine="646"/>
        <w:spacing w:after="0" w:line="255" w:lineRule="auto"/>
        <w:rPr>
          <w:sz w:val="20"/>
          <w:szCs w:val="20"/>
          <w:color w:val="auto"/>
        </w:rPr>
      </w:pPr>
      <w:r>
        <w:rPr>
          <w:rFonts w:ascii="Times New Roman" w:cs="Times New Roman" w:eastAsia="Times New Roman" w:hAnsi="Times New Roman"/>
          <w:sz w:val="18"/>
          <w:szCs w:val="18"/>
          <w:color w:val="auto"/>
        </w:rPr>
        <w:t>Although we do not currently have any products on the market, upon commercialization of our drug candidates, if approved, we will be subject to additional healthcare statutory and regulatory requirements and oversight by federal and state governments in the United States as well as international governments in the jurisdictions in which we conduct our business. Physicians, other healthcare providers, and third-party payors will play a primary role in the recommendation and prescription of any drug candidates for which we obtain marketing approval. Our future arrangements with third-party payors and customers may expose us to broadly applicable federal and state fraud and abuse and other healthcare laws and regulations that may constrain the business or financial arrangements and relationships through which we market, sell and distribute any products for which we obtain marketing approval. Restrictions under applicable healthcare laws and regulations include the following:</w:t>
      </w:r>
    </w:p>
    <w:p>
      <w:pPr>
        <w:spacing w:after="0" w:line="184" w:lineRule="exact"/>
        <w:rPr>
          <w:sz w:val="20"/>
          <w:szCs w:val="20"/>
          <w:color w:val="auto"/>
        </w:rPr>
      </w:pPr>
    </w:p>
    <w:p>
      <w:pPr>
        <w:ind w:right="140" w:firstLine="646"/>
        <w:spacing w:after="0" w:line="265" w:lineRule="auto"/>
        <w:rPr>
          <w:sz w:val="20"/>
          <w:szCs w:val="20"/>
          <w:color w:val="auto"/>
        </w:rPr>
      </w:pPr>
      <w:r>
        <w:rPr>
          <w:rFonts w:ascii="Times New Roman" w:cs="Times New Roman" w:eastAsia="Times New Roman" w:hAnsi="Times New Roman"/>
          <w:sz w:val="18"/>
          <w:szCs w:val="18"/>
          <w:color w:val="auto"/>
        </w:rPr>
        <w:t>The Anti-Kickback Statute prohibits, among other things, persons from knowingly and willfully soliciting, offering, receiving or providing any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176" w:lineRule="exact"/>
        <w:rPr>
          <w:sz w:val="20"/>
          <w:szCs w:val="20"/>
          <w:color w:val="auto"/>
        </w:rPr>
      </w:pPr>
    </w:p>
    <w:p>
      <w:pPr>
        <w:ind w:firstLine="646"/>
        <w:spacing w:after="0" w:line="265" w:lineRule="auto"/>
        <w:rPr>
          <w:sz w:val="20"/>
          <w:szCs w:val="20"/>
          <w:color w:val="auto"/>
        </w:rPr>
      </w:pPr>
      <w:r>
        <w:rPr>
          <w:rFonts w:ascii="Times New Roman" w:cs="Times New Roman" w:eastAsia="Times New Roman" w:hAnsi="Times New Roman"/>
          <w:sz w:val="18"/>
          <w:szCs w:val="18"/>
          <w:color w:val="auto"/>
        </w:rPr>
        <w:t>The False Claims Act imposes criminal and civil penalties against individuals or entities for knowingly presenting, or causing to be presented, to the federal government, claims for payment that are false or fraudulent or making a false statement to avoid, decrease or conceal an obligation to pay money to the Federal governments; and</w:t>
      </w:r>
    </w:p>
    <w:p>
      <w:pPr>
        <w:spacing w:after="0" w:line="176" w:lineRule="exact"/>
        <w:rPr>
          <w:sz w:val="20"/>
          <w:szCs w:val="20"/>
          <w:color w:val="auto"/>
        </w:rPr>
      </w:pPr>
    </w:p>
    <w:p>
      <w:pPr>
        <w:ind w:firstLine="646"/>
        <w:spacing w:after="0" w:line="265" w:lineRule="auto"/>
        <w:rPr>
          <w:sz w:val="20"/>
          <w:szCs w:val="20"/>
          <w:color w:val="auto"/>
        </w:rPr>
      </w:pPr>
      <w:r>
        <w:rPr>
          <w:rFonts w:ascii="Times New Roman" w:cs="Times New Roman" w:eastAsia="Times New Roman" w:hAnsi="Times New Roman"/>
          <w:sz w:val="18"/>
          <w:szCs w:val="18"/>
          <w:color w:val="auto"/>
        </w:rPr>
        <w:t>HIPAA imposes criminal and civil liability for executing a scheme to defraud any healthcare benefit program or making false statements relating to healthcare matters. HIPAA, as amended by HITECH and its implementing regulations, also imposes obligations, including mandatory contractual terms, with respect to safeguarding the privacy, security and transmission of individually identifiable health information.</w:t>
      </w:r>
    </w:p>
    <w:p>
      <w:pPr>
        <w:spacing w:after="0" w:line="176" w:lineRule="exact"/>
        <w:rPr>
          <w:sz w:val="20"/>
          <w:szCs w:val="20"/>
          <w:color w:val="auto"/>
        </w:rPr>
      </w:pPr>
    </w:p>
    <w:p>
      <w:pPr>
        <w:ind w:right="500" w:firstLine="646"/>
        <w:spacing w:after="0" w:line="260" w:lineRule="auto"/>
        <w:rPr>
          <w:sz w:val="20"/>
          <w:szCs w:val="20"/>
          <w:color w:val="auto"/>
        </w:rPr>
      </w:pPr>
      <w:r>
        <w:rPr>
          <w:rFonts w:ascii="Times New Roman" w:cs="Times New Roman" w:eastAsia="Times New Roman" w:hAnsi="Times New Roman"/>
          <w:sz w:val="18"/>
          <w:szCs w:val="18"/>
          <w:color w:val="auto"/>
        </w:rPr>
        <w:t>The Physician Payments Sunshine Act requires applicable manufacturers of covered drugs to report payments and other transfers of value to physicians, certain advanced non-physician healthcare practitioners, and teaching hospitals, as well as ownership and investment interests held by physicians and their immediate family, which includes data collection and reporting obligations. Such information reported to CMS is made publicly available on a searchable website.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60" w:name="page61"/>
    <w:bookmarkEnd w:id="60"/>
    <w:p>
      <w:pPr>
        <w:ind w:right="40" w:firstLine="646"/>
        <w:spacing w:after="0" w:line="255" w:lineRule="auto"/>
        <w:rPr>
          <w:sz w:val="20"/>
          <w:szCs w:val="20"/>
          <w:color w:val="auto"/>
        </w:rPr>
      </w:pPr>
      <w:r>
        <w:rPr>
          <w:rFonts w:ascii="Times New Roman" w:cs="Times New Roman" w:eastAsia="Times New Roman" w:hAnsi="Times New Roman"/>
          <w:sz w:val="18"/>
          <w:szCs w:val="18"/>
          <w:color w:val="auto"/>
        </w:rPr>
        <w:t>Analogous state and international laws and regulations, such as state anti-kickback and false claims laws,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State and international laws also govern the privacy and security of health information in some circumstances, many of which differ from each other in significant ways and often are not preempted by HIPAA, thus complicating compliance efforts.</w:t>
      </w:r>
    </w:p>
    <w:p>
      <w:pPr>
        <w:spacing w:after="0" w:line="184" w:lineRule="exact"/>
        <w:rPr>
          <w:sz w:val="20"/>
          <w:szCs w:val="20"/>
          <w:color w:val="auto"/>
        </w:rPr>
      </w:pPr>
    </w:p>
    <w:p>
      <w:pPr>
        <w:ind w:firstLine="646"/>
        <w:spacing w:after="0" w:line="254"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our drug candidates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83" w:lineRule="exact"/>
        <w:rPr>
          <w:sz w:val="20"/>
          <w:szCs w:val="20"/>
          <w:color w:val="auto"/>
        </w:rPr>
      </w:pPr>
    </w:p>
    <w:p>
      <w:pPr>
        <w:ind w:right="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Changes in U.S. healthcare law and implementing regulations, as well as changes in healthcare policy, may impact our business in ways that we cannot currently predict and may harm our business and results of operations.</w:t>
      </w:r>
    </w:p>
    <w:p>
      <w:pPr>
        <w:spacing w:after="0" w:line="159" w:lineRule="exact"/>
        <w:rPr>
          <w:sz w:val="20"/>
          <w:szCs w:val="20"/>
          <w:color w:val="auto"/>
        </w:rPr>
      </w:pPr>
    </w:p>
    <w:p>
      <w:pPr>
        <w:ind w:right="100" w:firstLine="646"/>
        <w:spacing w:after="0" w:line="253" w:lineRule="auto"/>
        <w:rPr>
          <w:sz w:val="20"/>
          <w:szCs w:val="20"/>
          <w:color w:val="auto"/>
        </w:rPr>
      </w:pPr>
      <w:r>
        <w:rPr>
          <w:rFonts w:ascii="Times New Roman" w:cs="Times New Roman" w:eastAsia="Times New Roman" w:hAnsi="Times New Roman"/>
          <w:sz w:val="18"/>
          <w:szCs w:val="18"/>
          <w:color w:val="auto"/>
        </w:rPr>
        <w:t>All aspects of our business, including R&amp;D, manufacturing, marketing, pricing, sales, litigation, and intellectual property rights, are subject to extensive legislation and regulation. Changes in applicable U.S. federal and state laws and agency regulation, as well as international laws and regulations, could have a materially negative impact on our business. In the United States and in some other jurisdictions, there have been a number of legislative and regulatory changes and proposed changes regarding the healthcare system that could prevent or delay marketing approval of our drug candidates or any potential future drug candidates of ours, restrict or regulate post-approval activities, or affect our ability to profitably sell any drug candidates for which we obtain marketing approval. Increased scrutiny by the U.S. Congress of the FDA’s approval process may significantly delay or prevent marketing approval, as well as subject us to more stringent product labeling and post-marketing testing and other requirements. Congress also must reauthorize the FDA’s user fee programs every five years and often makes changes to those programs in addition to policy or procedural changes that may be negotiated between the FDA and industry stakeholders as part of this periodic reauthorization process. Congress most recently reauthorized the user fee programs in September 2022 without any substantive policy changes.</w:t>
      </w:r>
    </w:p>
    <w:p>
      <w:pPr>
        <w:spacing w:after="0" w:line="188" w:lineRule="exact"/>
        <w:rPr>
          <w:sz w:val="20"/>
          <w:szCs w:val="20"/>
          <w:color w:val="auto"/>
        </w:rPr>
      </w:pPr>
    </w:p>
    <w:p>
      <w:pPr>
        <w:ind w:right="100" w:firstLine="646"/>
        <w:spacing w:after="0" w:line="274" w:lineRule="auto"/>
        <w:rPr>
          <w:sz w:val="20"/>
          <w:szCs w:val="20"/>
          <w:color w:val="auto"/>
        </w:rPr>
      </w:pPr>
      <w:r>
        <w:rPr>
          <w:rFonts w:ascii="Times New Roman" w:cs="Times New Roman" w:eastAsia="Times New Roman" w:hAnsi="Times New Roman"/>
          <w:sz w:val="17"/>
          <w:szCs w:val="17"/>
          <w:color w:val="auto"/>
        </w:rPr>
        <w:t>Among policy makers and payors in the United States and elsewhere, there is significant interest in promoting changes in healthcare systems with the stated goals of containing costs, improving quality and/or expanding access. In the United States, the pharmaceutical industry has been a focus of these efforts and has been significantly affected by major legislative initiatives. In March 2010, Congress passed the ACA, which substantially changed the way healthcare is financed by both the government and private insurers, and significantly impacts the U.S. pharmaceutical industry. We expect that changes or additions to the ACA, the Medicare and Medicaid programs, and changes stemming from other healthcare reform measures, especially with regard to healthcare access, financing or other legislation in individual states, could have a material adverse effect on the healthcare industry in the United States.</w:t>
      </w:r>
    </w:p>
    <w:p>
      <w:pPr>
        <w:spacing w:after="0" w:line="169" w:lineRule="exact"/>
        <w:rPr>
          <w:sz w:val="20"/>
          <w:szCs w:val="20"/>
          <w:color w:val="auto"/>
        </w:rPr>
      </w:pPr>
    </w:p>
    <w:p>
      <w:pPr>
        <w:ind w:right="80" w:firstLine="646"/>
        <w:spacing w:after="0" w:line="255" w:lineRule="auto"/>
        <w:rPr>
          <w:sz w:val="20"/>
          <w:szCs w:val="20"/>
          <w:color w:val="auto"/>
        </w:rPr>
      </w:pPr>
      <w:r>
        <w:rPr>
          <w:rFonts w:ascii="Times New Roman" w:cs="Times New Roman" w:eastAsia="Times New Roman" w:hAnsi="Times New Roman"/>
          <w:sz w:val="18"/>
          <w:szCs w:val="18"/>
          <w:color w:val="auto"/>
        </w:rPr>
        <w:t>The DSCSA, which will become fully effective and applicable in November 2024, imposes obligations on manufacturers of pharmaceutical products related to product tracking and tracing. Furthermore, in February 2022, FDA released proposed regulations to amend the national standards for licensing of wholesale drug distributors by the states; establish new minimum standards for state licensing third-party logistics providers; and create a federal system for licensure for use in the absence of a state program, each of which is mandated by the DSCSA. Other legislative and regulatory proposals have been made to expand post-approval requirements and restrict sales and promotional activities for pharmaceutical products. We are unsure whether additional legislative changes will be enacted, or whether the current regulations, guidance or interpretations will be changed, or whether such changes will have any impact on our business.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61" w:name="page62"/>
    <w:bookmarkEnd w:id="61"/>
    <w:p>
      <w:pPr>
        <w:ind w:right="80" w:firstLine="646"/>
        <w:spacing w:after="0" w:line="253" w:lineRule="auto"/>
        <w:rPr>
          <w:sz w:val="20"/>
          <w:szCs w:val="20"/>
          <w:color w:val="auto"/>
        </w:rPr>
      </w:pPr>
      <w:r>
        <w:rPr>
          <w:rFonts w:ascii="Times New Roman" w:cs="Times New Roman" w:eastAsia="Times New Roman" w:hAnsi="Times New Roman"/>
          <w:sz w:val="18"/>
          <w:szCs w:val="18"/>
          <w:color w:val="auto"/>
        </w:rPr>
        <w:t>Additionally, there has been heightened governmental scrutiny in the United States of pharmaceutical pricing practices considering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In addition to the drug price negotiation provisions of the Inflation Reduction Act of 2022 (see “Regulatory Authorities – Healthcare Reform and Potential Changes to Healthcare Laws”), President Biden’s Executive Order 14087, issued October 2022, called for CMS to prepare and submit a report to the White House on potential payment and delivery modes that would complement efforts under the IRA to lower drug costs, and promote access to innovative drugs. In February 2023, CMS published its report which described three potential models focusing on affordability, accessibility and feasibility of implementation for further testing by the CMS Innovation Center. The CMS Innovation Center continues to test the proposed models and has started to roll out plans for access model testing of certain product types (e.g., cell and gene therapies) by states and manufacturers.</w:t>
      </w:r>
    </w:p>
    <w:p>
      <w:pPr>
        <w:spacing w:after="0" w:line="188" w:lineRule="exact"/>
        <w:rPr>
          <w:sz w:val="20"/>
          <w:szCs w:val="20"/>
          <w:color w:val="auto"/>
        </w:rPr>
      </w:pPr>
    </w:p>
    <w:p>
      <w:pPr>
        <w:ind w:firstLine="646"/>
        <w:spacing w:after="0" w:line="253" w:lineRule="auto"/>
        <w:rPr>
          <w:sz w:val="20"/>
          <w:szCs w:val="20"/>
          <w:color w:val="auto"/>
        </w:rPr>
      </w:pPr>
      <w:r>
        <w:rPr>
          <w:rFonts w:ascii="Times New Roman" w:cs="Times New Roman" w:eastAsia="Times New Roman" w:hAnsi="Times New Roman"/>
          <w:sz w:val="18"/>
          <w:szCs w:val="18"/>
          <w:color w:val="auto"/>
        </w:rPr>
        <w:t>At the state level, legislatures are increasingly passing legislation and implementing regulations designed to control pharmaceutical pricing, including price or patient reimbursement constraints, discounts, restrictions on certain product access and marketing cost disclosure and transparency measures, and, in some cases, designed to encourage importation from other countries and bulk purchasing. In December 2020, the U.S. Supreme Court held unanimously that federal law does not preempt the states’ ability to regulate PBMs, and other members of the healthcare and pharmaceutical supply chain, an important decision that may lead to further and more aggressive efforts by states in this area. Then, in mid-2022, the FTC launched sweeping investigations into the practices of the PBM industry that could lead to additional federal and state legislative or regulatory proposals targeting such entities’ operations, pharmacy networks, or financial arrangements. In addition, in the last few years, several states have formed prescription drug affordability boards (“PDABs”), with the authority to implement upper payment limits (“UPLs”), on drugs sold in their respective jurisdictions. There are several pending federal lawsuits challenging the authority of states to impose UPLs, however.</w:t>
      </w:r>
    </w:p>
    <w:p>
      <w:pPr>
        <w:spacing w:after="0" w:line="191" w:lineRule="exact"/>
        <w:rPr>
          <w:sz w:val="20"/>
          <w:szCs w:val="20"/>
          <w:color w:val="auto"/>
        </w:rPr>
      </w:pPr>
    </w:p>
    <w:p>
      <w:pPr>
        <w:ind w:right="180" w:firstLine="646"/>
        <w:spacing w:after="0" w:line="255" w:lineRule="auto"/>
        <w:rPr>
          <w:sz w:val="20"/>
          <w:szCs w:val="20"/>
          <w:color w:val="auto"/>
        </w:rPr>
      </w:pPr>
      <w:r>
        <w:rPr>
          <w:rFonts w:ascii="Times New Roman" w:cs="Times New Roman" w:eastAsia="Times New Roman" w:hAnsi="Times New Roman"/>
          <w:sz w:val="18"/>
          <w:szCs w:val="18"/>
          <w:color w:val="auto"/>
        </w:rPr>
        <w:t>Outside of the United States, particularly in the European Union, the coverage status and pricing of prescription pharmaceuticals and biologics is subject to governmental control. In these countries, pricing negotiations with governmental authorities can take considerable time after the receipt of marketing approval for a product. Furthermore, the requirements may differ across the EU Member States. To obtain coverage and reimbursement or pricing approval in some countries, we may be required to conduct a clinical trial that compares the cost-effectiveness of our drug candidate to other available therapies. If reimbursement of our products is unavailable or limited in scope or amount, or if pricing is set at unsatisfactory levels, our business could be harmed. Also, at a national level, actions have been taken to enact transparency and anti-gift laws (similar to the U.S. Physician Payments Sunshine Act) regarding payments between pharmaceutical companies and healthcare professionals.</w:t>
      </w:r>
    </w:p>
    <w:p>
      <w:pPr>
        <w:spacing w:after="0" w:line="180" w:lineRule="exact"/>
        <w:rPr>
          <w:sz w:val="20"/>
          <w:szCs w:val="20"/>
          <w:color w:val="auto"/>
        </w:rPr>
      </w:pPr>
    </w:p>
    <w:p>
      <w:pPr>
        <w:ind w:right="220" w:firstLine="45"/>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drug candidates contain cannabinoid and psychedelic substances, the use of which may generate public controversy. Adverse publicity or public perception regarding our current or future drug candidates may negatively influence the success of these therapies.</w:t>
      </w:r>
    </w:p>
    <w:p>
      <w:pPr>
        <w:spacing w:after="0" w:line="159" w:lineRule="exact"/>
        <w:rPr>
          <w:sz w:val="20"/>
          <w:szCs w:val="20"/>
          <w:color w:val="auto"/>
        </w:rPr>
      </w:pPr>
    </w:p>
    <w:p>
      <w:pPr>
        <w:ind w:right="20" w:firstLine="646"/>
        <w:spacing w:after="0" w:line="255" w:lineRule="auto"/>
        <w:rPr>
          <w:sz w:val="20"/>
          <w:szCs w:val="20"/>
          <w:color w:val="auto"/>
        </w:rPr>
      </w:pPr>
      <w:r>
        <w:rPr>
          <w:rFonts w:ascii="Times New Roman" w:cs="Times New Roman" w:eastAsia="Times New Roman" w:hAnsi="Times New Roman"/>
          <w:sz w:val="18"/>
          <w:szCs w:val="18"/>
          <w:color w:val="auto"/>
        </w:rPr>
        <w:t>Our drug candidates contain cannabinoid and psychedelic substances that may generate public controversy. Political and social pressures and adverse publicity could lead to delays in approval of, and increased expenses for our current drug candidates and any future drug candidates we may develop. Opponents of these compounds may seek restrictions on marketing and withdrawal of any regulatory approvals. In addition, these opponents may seek to generate negative publicity in an effort to persuade the medical community to reject these products, if approved. Adverse publicity from misuse may adversely affect the commercial success or market penetration achievable by our drug candidates. Anti-cannabinoid and anti-psychedelic protests have historically occurred and may occur in the future and generate media coverage. Political pressures and adverse publicity could lead to delays in, and increased expenses for, and limit or restrict the introduction and marketing of, our drug candidates or any future drug candidates.</w:t>
      </w:r>
    </w:p>
    <w:p>
      <w:pPr>
        <w:spacing w:after="0" w:line="184" w:lineRule="exact"/>
        <w:rPr>
          <w:sz w:val="20"/>
          <w:szCs w:val="20"/>
          <w:color w:val="auto"/>
        </w:rPr>
      </w:pPr>
    </w:p>
    <w:p>
      <w:pPr>
        <w:ind w:right="20" w:firstLine="646"/>
        <w:spacing w:after="0" w:line="253" w:lineRule="auto"/>
        <w:rPr>
          <w:sz w:val="20"/>
          <w:szCs w:val="20"/>
          <w:color w:val="auto"/>
        </w:rPr>
      </w:pPr>
      <w:r>
        <w:rPr>
          <w:rFonts w:ascii="Times New Roman" w:cs="Times New Roman" w:eastAsia="Times New Roman" w:hAnsi="Times New Roman"/>
          <w:sz w:val="18"/>
          <w:szCs w:val="18"/>
          <w:color w:val="auto"/>
        </w:rPr>
        <w:t>If our drug candidates or any future drug candidates are approved for commercial sale, we will be highly dependent upon consumer perceptions of the safety and quality of our drug candidates. We may face limited adoption if third-party therapy sites, therapists or patients are unwilling to try such a novel treatment given that some of our drug candidates are from substances that might be controversial, overlooked or underused. There has been a history of negative media coverage regarding cannabinoid psychedelic substances, including compounds in many of our drug candidates, which may affect the public’s perception of our drug candidates. In addition, compounds in most of our drug candidates may elicit intense psychological experiences, and this could deter patients from choosing this course of treatment, if our drug candidates were approved. Our business could be adversely affected if we were subject to negative publicity or if any of our drug candidates, if approved, or any similar drug candidates distributed by other companies prove to be, or are asserted to be, harmful to patients. Because of our dependence upon consumer perception, any adverse publicity associated with illness or other adverse effects resulting from patients’ use or misuse of any of our drug candidates, if approved or any similar products distributed by other companies could have a material adverse impact on our business, prospects, financial condition and results of operations.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62" w:name="page63"/>
    <w:bookmarkEnd w:id="62"/>
    <w:p>
      <w:pPr>
        <w:ind w:right="400" w:firstLine="646"/>
        <w:spacing w:after="0" w:line="260" w:lineRule="auto"/>
        <w:rPr>
          <w:sz w:val="20"/>
          <w:szCs w:val="20"/>
          <w:color w:val="auto"/>
        </w:rPr>
      </w:pPr>
      <w:r>
        <w:rPr>
          <w:rFonts w:ascii="Times New Roman" w:cs="Times New Roman" w:eastAsia="Times New Roman" w:hAnsi="Times New Roman"/>
          <w:sz w:val="18"/>
          <w:szCs w:val="18"/>
          <w:color w:val="auto"/>
        </w:rPr>
        <w:t>Future AEs in research into depression and other mental health disorders, such as substance use disorder and anxiety, on which we focus our research efforts, or the pharmaceutical industry more generally, could also result in greater governmental regulation, stricter labeling requirements and potential regulatory delays in the testing or approvals of our drug candidates. Any increased scrutiny could delay or increase the costs of obtaining regulatory approval for our drug candidates or any future drug candidates.</w:t>
      </w:r>
    </w:p>
    <w:p>
      <w:pPr>
        <w:spacing w:after="0" w:line="177" w:lineRule="exact"/>
        <w:rPr>
          <w:sz w:val="20"/>
          <w:szCs w:val="20"/>
          <w:color w:val="auto"/>
        </w:rPr>
      </w:pPr>
    </w:p>
    <w:p>
      <w:pPr>
        <w:ind w:right="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The production and sale of our drug candidates may be considered illegal or may otherwise be restricted due to the use of controlled substances, which may have consequences for the legality of investments from international jurisdictions.</w:t>
      </w:r>
    </w:p>
    <w:p>
      <w:pPr>
        <w:spacing w:after="0" w:line="186" w:lineRule="exact"/>
        <w:rPr>
          <w:sz w:val="20"/>
          <w:szCs w:val="20"/>
          <w:color w:val="auto"/>
        </w:rPr>
      </w:pPr>
    </w:p>
    <w:p>
      <w:pPr>
        <w:ind w:right="20" w:firstLine="646"/>
        <w:spacing w:after="0" w:line="253" w:lineRule="auto"/>
        <w:rPr>
          <w:sz w:val="20"/>
          <w:szCs w:val="20"/>
          <w:color w:val="auto"/>
        </w:rPr>
      </w:pPr>
      <w:r>
        <w:rPr>
          <w:rFonts w:ascii="Times New Roman" w:cs="Times New Roman" w:eastAsia="Times New Roman" w:hAnsi="Times New Roman"/>
          <w:sz w:val="18"/>
          <w:szCs w:val="18"/>
          <w:color w:val="auto"/>
        </w:rPr>
        <w:t>Our drug candidates contain controlled substances, including psychedelic substances, which are subject to strict legal requirements in certain jurisdictions where we will produce and intend to sell our products, if approved. Certain jurisdictions may not allow the use or production of the substances included in our drug candidates, nor provide any possibilities for an exemption or regulatory approval that could allow for the lawful use or production of such substances. In addition, these jurisdictions may prohibit any form of contributing to the production or use of these drug candidates and may also directly or indirectly prohibit the receipt of any benefits following from the production and sale of these substances. Under circumstances, this may have consequences for the legality of the purchase of our shares or receipt of dividends in or from international jurisdictions.</w:t>
      </w:r>
    </w:p>
    <w:p>
      <w:pPr>
        <w:spacing w:after="0" w:line="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If certain international authorities consider it illegal to invest in our company, this will negatively affect the possibility to commercialize and generate revenue in the country of interest. Any investigations of authorities against international investors could generate negative publicity. We cannot predict the likelihood of international authorities to take such a point of view or take any actions against investors in certain jurisdictions.</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Risks Related to Our Business Operations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R&amp;D efforts will be jeopardized if we are unable to retain key personnel and cultivate key academic and scientific collaborations</w:t>
      </w:r>
      <w:r>
        <w:rPr>
          <w:rFonts w:ascii="Times New Roman" w:cs="Times New Roman" w:eastAsia="Times New Roman" w:hAnsi="Times New Roman"/>
          <w:sz w:val="18"/>
          <w:szCs w:val="18"/>
          <w:b w:val="1"/>
          <w:bCs w:val="1"/>
          <w:color w:val="auto"/>
        </w:rPr>
        <w:t>.</w:t>
      </w:r>
    </w:p>
    <w:p>
      <w:pPr>
        <w:spacing w:after="0" w:line="228" w:lineRule="exact"/>
        <w:rPr>
          <w:sz w:val="20"/>
          <w:szCs w:val="20"/>
          <w:color w:val="auto"/>
        </w:rPr>
      </w:pPr>
    </w:p>
    <w:p>
      <w:pPr>
        <w:ind w:right="180" w:firstLine="646"/>
        <w:spacing w:after="0" w:line="265" w:lineRule="auto"/>
        <w:rPr>
          <w:sz w:val="20"/>
          <w:szCs w:val="20"/>
          <w:color w:val="auto"/>
        </w:rPr>
      </w:pPr>
      <w:r>
        <w:rPr>
          <w:rFonts w:ascii="Times New Roman" w:cs="Times New Roman" w:eastAsia="Times New Roman" w:hAnsi="Times New Roman"/>
          <w:sz w:val="18"/>
          <w:szCs w:val="18"/>
          <w:color w:val="auto"/>
        </w:rPr>
        <w:t>Changes in our senior management could be disruptive to our business and may adversely affect our operations. For example, when we have changes in senior management positions, we may elect to adopt different business strategies or plans. Any new strategies or plans, if adopted, may not be successful and if any new strategies or plans do not produce the desired results, our business may suffer.</w:t>
      </w:r>
    </w:p>
    <w:p>
      <w:pPr>
        <w:spacing w:after="0" w:line="176" w:lineRule="exact"/>
        <w:rPr>
          <w:sz w:val="20"/>
          <w:szCs w:val="20"/>
          <w:color w:val="auto"/>
        </w:rPr>
      </w:pPr>
    </w:p>
    <w:p>
      <w:pPr>
        <w:ind w:firstLine="646"/>
        <w:spacing w:after="0" w:line="257" w:lineRule="auto"/>
        <w:rPr>
          <w:sz w:val="20"/>
          <w:szCs w:val="20"/>
          <w:color w:val="auto"/>
        </w:rPr>
      </w:pPr>
      <w:r>
        <w:rPr>
          <w:rFonts w:ascii="Times New Roman" w:cs="Times New Roman" w:eastAsia="Times New Roman" w:hAnsi="Times New Roman"/>
          <w:sz w:val="18"/>
          <w:szCs w:val="18"/>
          <w:color w:val="auto"/>
        </w:rPr>
        <w:t>Moreover, competition among biotechnology and pharmaceutical companies for qualified employees is intense and as such, we may not be able to attract and retain personnel critical to our success. Our success depends on our continued ability to attract, retain and motivate highly qualified management, clinical and scientific personnel, manufacturing personnel, sales and marketing personnel and on our ability to develop and maintain important relationships with clinicians, scientists and leading academic and health institutions. If we fail to identify, attract, retain and motivate these highly skilled personnel, we may be unable to continue our product development and commercialization activities.</w:t>
      </w:r>
    </w:p>
    <w:p>
      <w:pPr>
        <w:spacing w:after="0" w:line="185" w:lineRule="exact"/>
        <w:rPr>
          <w:sz w:val="20"/>
          <w:szCs w:val="20"/>
          <w:color w:val="auto"/>
        </w:rPr>
      </w:pPr>
    </w:p>
    <w:p>
      <w:pPr>
        <w:ind w:right="60" w:firstLine="646"/>
        <w:spacing w:after="0" w:line="265" w:lineRule="auto"/>
        <w:rPr>
          <w:sz w:val="20"/>
          <w:szCs w:val="20"/>
          <w:color w:val="auto"/>
        </w:rPr>
      </w:pPr>
      <w:r>
        <w:rPr>
          <w:rFonts w:ascii="Times New Roman" w:cs="Times New Roman" w:eastAsia="Times New Roman" w:hAnsi="Times New Roman"/>
          <w:sz w:val="18"/>
          <w:szCs w:val="18"/>
          <w:color w:val="auto"/>
        </w:rPr>
        <w:t>In addition, biotechnology and pharmaceutical industries are subject to rapid and significant technological change. Our drug candidates may be or become uncompetitive. To remain competitive, we must employ and retain suitably qualified staff that are continuously educated to keep pace with changing technology but may not be in a position to do so.</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Inflation may adversely affect us by materially increasing our costs.</w:t>
      </w:r>
    </w:p>
    <w:p>
      <w:pPr>
        <w:spacing w:after="0" w:line="228" w:lineRule="exact"/>
        <w:rPr>
          <w:sz w:val="20"/>
          <w:szCs w:val="20"/>
          <w:color w:val="auto"/>
        </w:rPr>
      </w:pPr>
    </w:p>
    <w:p>
      <w:pPr>
        <w:ind w:firstLine="646"/>
        <w:spacing w:after="0" w:line="256" w:lineRule="auto"/>
        <w:rPr>
          <w:sz w:val="20"/>
          <w:szCs w:val="20"/>
          <w:color w:val="auto"/>
        </w:rPr>
      </w:pPr>
      <w:r>
        <w:rPr>
          <w:rFonts w:ascii="Times New Roman" w:cs="Times New Roman" w:eastAsia="Times New Roman" w:hAnsi="Times New Roman"/>
          <w:sz w:val="18"/>
          <w:szCs w:val="18"/>
          <w:color w:val="auto"/>
        </w:rPr>
        <w:t>Recently, inflation has increased throughout the U.S. economy. While we do not believe we have been materially affected by inflation as of the date of this Annual Report, inflation can adversely affect us by materially increasing the costs of clinical trials and research, the development of our drug candidates, administration, and other costs of doing business. We may experience material increases in the prices of labor and other costs of doing business. In an inflationary environment, cost increases may materially outpace our expectations, causing us to use our cash and other liquid assets faster than forecasted. If this happens, we may need to raise additional capital to fund our operations, which may not be available in sufficient amounts or on reasonable terms, if at all, sooner than expected.</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00"/>
          </w:cols>
          <w:pgMar w:left="320" w:top="875" w:right="3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interpretation or application of account principles generally accepted in the (“US GAAP”) may adversely affect our operating results.</w:t>
      </w:r>
    </w:p>
    <w:p>
      <w:pPr>
        <w:spacing w:after="0" w:line="228" w:lineRule="exact"/>
        <w:rPr>
          <w:sz w:val="20"/>
          <w:szCs w:val="20"/>
          <w:color w:val="auto"/>
        </w:rPr>
      </w:pPr>
    </w:p>
    <w:p>
      <w:pPr>
        <w:ind w:right="20" w:firstLine="646"/>
        <w:spacing w:after="0" w:line="256" w:lineRule="auto"/>
        <w:rPr>
          <w:sz w:val="20"/>
          <w:szCs w:val="20"/>
          <w:color w:val="auto"/>
        </w:rPr>
      </w:pPr>
      <w:r>
        <w:rPr>
          <w:rFonts w:ascii="Times New Roman" w:cs="Times New Roman" w:eastAsia="Times New Roman" w:hAnsi="Times New Roman"/>
          <w:sz w:val="18"/>
          <w:szCs w:val="18"/>
          <w:color w:val="auto"/>
        </w:rPr>
        <w:t>We prepare our consolidated financial statements to conform to US GAAP. These principles are subject to interpretation by the Financial Accounting Standards Board, American Institute of Certified Public Accountants, the SEC and various other regulatory and accounting bodies. A change in interpretations of, or our application of, these principles can have a significant effect on our reported results and may even affect our reporting of transactions completed before a change is announced. In addition, when we are required to adopt new accounting standards, our methods of accounting for certain items may change, which could cause our results of operations to fluctuate from period to period and make it more difficult to compare our financial results to prior periods.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Political uncertainty may have an adverse impact on our operating performance and results of operations.</w:t>
      </w:r>
    </w:p>
    <w:p>
      <w:pPr>
        <w:spacing w:after="0" w:line="228" w:lineRule="exact"/>
        <w:rPr>
          <w:sz w:val="20"/>
          <w:szCs w:val="20"/>
          <w:color w:val="auto"/>
        </w:rPr>
      </w:pPr>
    </w:p>
    <w:p>
      <w:pPr>
        <w:ind w:firstLine="646"/>
        <w:spacing w:after="0" w:line="257" w:lineRule="auto"/>
        <w:rPr>
          <w:sz w:val="20"/>
          <w:szCs w:val="20"/>
          <w:color w:val="auto"/>
        </w:rPr>
      </w:pPr>
      <w:r>
        <w:rPr>
          <w:rFonts w:ascii="Times New Roman" w:cs="Times New Roman" w:eastAsia="Times New Roman" w:hAnsi="Times New Roman"/>
          <w:sz w:val="18"/>
          <w:szCs w:val="18"/>
          <w:color w:val="auto"/>
        </w:rPr>
        <w:t>General political uncertainty may have an adverse impact on our operating performance and results of operations. In particular, the United States continues to experience significant political events that cast uncertainty on global financial and economic markets, especially in light of the upcoming presidential election. It is presently unclear exactly what actions any new administration in the United States will implement, and if implemented, how these actions may impact the biopharmaceutical industry in the United States. Any actions taken by a new U.S. administration may have a negative impact on the United States economies and on our business, financial condition, and results of operations.</w:t>
      </w:r>
    </w:p>
    <w:p>
      <w:pPr>
        <w:spacing w:after="0" w:line="181" w:lineRule="exact"/>
        <w:rPr>
          <w:sz w:val="20"/>
          <w:szCs w:val="20"/>
          <w:color w:val="auto"/>
        </w:rPr>
      </w:pPr>
    </w:p>
    <w:p>
      <w:pPr>
        <w:ind w:right="38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or those of third parties upon which we rely, are of were compromised, we could experience adverse consequences resulting from such compromise, including regulatory investigations or actions, litigation, fines and penalties, disruptions of our business operations, reputational harm, and other loss of revenue or profits.</w:t>
      </w:r>
    </w:p>
    <w:p>
      <w:pPr>
        <w:spacing w:after="0" w:line="175" w:lineRule="exact"/>
        <w:rPr>
          <w:sz w:val="20"/>
          <w:szCs w:val="20"/>
          <w:color w:val="auto"/>
        </w:rPr>
      </w:pPr>
    </w:p>
    <w:p>
      <w:pPr>
        <w:ind w:right="180" w:firstLine="646"/>
        <w:spacing w:after="0" w:line="256" w:lineRule="auto"/>
        <w:rPr>
          <w:sz w:val="20"/>
          <w:szCs w:val="20"/>
          <w:color w:val="auto"/>
        </w:rPr>
      </w:pPr>
      <w:r>
        <w:rPr>
          <w:rFonts w:ascii="Times New Roman" w:cs="Times New Roman" w:eastAsia="Times New Roman" w:hAnsi="Times New Roman"/>
          <w:sz w:val="18"/>
          <w:szCs w:val="18"/>
          <w:color w:val="auto"/>
        </w:rPr>
        <w:t>In the ordinary course of our business, we may collect, store, use, transmit, disclose, or otherwise process proprietary, confidential, and sensitive information, including personal information (such as health-related information), data related to clinical trials, intellectual property, and trade secrets. We may rely upon third parties service providers and technologies to operate critical business systems to process confidential and personal information in a variety of contexts, including, without limitation, third-party providers of cloud-based infrastructure, encryption and authentication technology, employee email, and other functions. Our ability to monitor these third parties’ cybersecurity practices is limited, and these third parties may not have adequate information security measures in place.</w:t>
      </w:r>
    </w:p>
    <w:p>
      <w:pPr>
        <w:spacing w:after="0" w:line="184" w:lineRule="exact"/>
        <w:rPr>
          <w:sz w:val="20"/>
          <w:szCs w:val="20"/>
          <w:color w:val="auto"/>
        </w:rPr>
      </w:pPr>
    </w:p>
    <w:p>
      <w:pPr>
        <w:ind w:firstLine="646"/>
        <w:spacing w:after="0" w:line="252" w:lineRule="auto"/>
        <w:rPr>
          <w:sz w:val="20"/>
          <w:szCs w:val="20"/>
          <w:color w:val="auto"/>
        </w:rPr>
      </w:pPr>
      <w:r>
        <w:rPr>
          <w:rFonts w:ascii="Times New Roman" w:cs="Times New Roman" w:eastAsia="Times New Roman" w:hAnsi="Times New Roman"/>
          <w:sz w:val="18"/>
          <w:szCs w:val="18"/>
          <w:color w:val="auto"/>
        </w:rPr>
        <w:t>Despite our implementation of security measures, our internal information technology systems and those of our clinical sites, and other contractors and consultants upon which we rely are vulnerable to cyberattacks, computer viruses, bugs, worms, or other malicious codes, malware, including as a result of advanced persistent threat intrusions, and other attacks by computer hackers, cracking, application security attacks, social engineering, including through phishing attacks, supply chain attacks and vulnerabilities through our third-party service providers, denial-of-service attacks, such as credential stuffing, credential harvesting, personnel misconduct or error, supply-chain attacks, software bugs, server malfunctions, software or hardware failures, loss of data or other information technology assets, adware, telecommunications failures, earthquakes, fires, floods, and other similar threats. There can be no assurance that we will be successful in preventing cybersecurity incidents or successfully mitigating their effects.Cyberattacks, malicious internet-based activity, and online and offline fraud are prevalent and continue to increase. These threats are becoming increasingly difficult to detect. These threats come from a variety of sources. In addition to traditional computer “hackers,” threat actors, personnel (such as through theft or misuse), sophisticated nation-states, “hacktivists,” and nation-state-supported actors now engage in attacks. Ransomware attacks, including those perpetrated by organized criminal threat actors, nation-states, and nation-state-supported actors, are becoming increasingly prevalent and severe and can lead to significant interruptions in our operations, loss of data and income, significant extra expenses to restore our data or systems, reputational harm, and diversion of funds. To alleviate the negative impact of a ransomware attack, it may be preferable to make payments to the threat actor(s), but we may be unwilling or unable to do so, including, for example, if applicable laws or regulations prohibit such payments.</w:t>
      </w:r>
    </w:p>
    <w:p>
      <w:pPr>
        <w:spacing w:after="0" w:line="190" w:lineRule="exact"/>
        <w:rPr>
          <w:sz w:val="20"/>
          <w:szCs w:val="20"/>
          <w:color w:val="auto"/>
        </w:rPr>
      </w:pPr>
    </w:p>
    <w:p>
      <w:pPr>
        <w:ind w:right="220" w:firstLine="646"/>
        <w:spacing w:after="0" w:line="256" w:lineRule="auto"/>
        <w:rPr>
          <w:sz w:val="20"/>
          <w:szCs w:val="20"/>
          <w:color w:val="auto"/>
        </w:rPr>
      </w:pPr>
      <w:r>
        <w:rPr>
          <w:rFonts w:ascii="Times New Roman" w:cs="Times New Roman" w:eastAsia="Times New Roman" w:hAnsi="Times New Roman"/>
          <w:sz w:val="18"/>
          <w:szCs w:val="18"/>
          <w:color w:val="auto"/>
        </w:rPr>
        <w:t>Some threat actors also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and our customers may be vulnerable to a heightened risk of these attacks, including retaliatory cyber-attacks, that could materially disrupt our systems and operations, supply chain and ability to produce, sell and distribute our goods and services. In addition to experiencing a cybersecurity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64" w:name="page65"/>
    <w:bookmarkEnd w:id="64"/>
    <w:p>
      <w:pPr>
        <w:ind w:right="200" w:firstLine="646"/>
        <w:spacing w:after="0" w:line="260" w:lineRule="auto"/>
        <w:rPr>
          <w:sz w:val="20"/>
          <w:szCs w:val="20"/>
          <w:color w:val="auto"/>
        </w:rPr>
      </w:pPr>
      <w:r>
        <w:rPr>
          <w:rFonts w:ascii="Times New Roman" w:cs="Times New Roman" w:eastAsia="Times New Roman" w:hAnsi="Times New Roman"/>
          <w:sz w:val="18"/>
          <w:szCs w:val="18"/>
          <w:color w:val="auto"/>
        </w:rPr>
        <w:t>Furthermore, future or past business transactions, such as acquisitions or integrations, could expose us to additional cybersecurity risks and vulnerabilities, as our systems could be negatively affected by vulnerabilities present in acquired or integrated entities’ systems and technologies. Additionally, we may discover security vulnerabilities or risks that were not found during due diligence of such acquired or integrated entities, and it may be difficult to integrate companies into our information technology environment and security program.</w:t>
      </w:r>
    </w:p>
    <w:p>
      <w:pPr>
        <w:spacing w:after="0" w:line="181" w:lineRule="exact"/>
        <w:rPr>
          <w:sz w:val="20"/>
          <w:szCs w:val="20"/>
          <w:color w:val="auto"/>
        </w:rPr>
      </w:pPr>
    </w:p>
    <w:p>
      <w:pPr>
        <w:ind w:firstLine="646"/>
        <w:spacing w:after="0" w:line="260" w:lineRule="auto"/>
        <w:rPr>
          <w:sz w:val="20"/>
          <w:szCs w:val="20"/>
          <w:color w:val="auto"/>
        </w:rPr>
      </w:pPr>
      <w:r>
        <w:rPr>
          <w:rFonts w:ascii="Times New Roman" w:cs="Times New Roman" w:eastAsia="Times New Roman" w:hAnsi="Times New Roman"/>
          <w:sz w:val="18"/>
          <w:szCs w:val="18"/>
          <w:color w:val="auto"/>
        </w:rPr>
        <w:t>While we take steps to detect and remediate vulnerabilities, we may not be able to detect and remediate all vulnerabilities because the threats and techniques used to exploit such vulnerabilities change frequently and are often sophisticated in nature. Therefore, such vulnerabilities could be exploited but may not be detected until after a cybersecurity incident has occurred, if at all. Further, we may experience delays in developing and deploying remedial measures designed to address any such identified vulnerabilities.</w:t>
      </w:r>
    </w:p>
    <w:p>
      <w:pPr>
        <w:spacing w:after="0" w:line="181" w:lineRule="exact"/>
        <w:rPr>
          <w:sz w:val="20"/>
          <w:szCs w:val="20"/>
          <w:color w:val="auto"/>
        </w:rPr>
      </w:pPr>
    </w:p>
    <w:p>
      <w:pPr>
        <w:ind w:right="260" w:firstLine="646"/>
        <w:spacing w:after="0" w:line="260"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cybersecurity incident or other interruption that could result in unauthorized, unlawful, or accidental acquisition, modification, destruction, loss, alteration, encryption, disclosure of, or access to our sensitive data or our information technology systems, or those of the third parties upon whom we rely. A cybersecurity incident or other interruption could disrupt our ability (and that of third parties upon whom we rely) to provide our services, develop our products, and conduct clinical trials.</w:t>
      </w:r>
    </w:p>
    <w:p>
      <w:pPr>
        <w:spacing w:after="0" w:line="181" w:lineRule="exact"/>
        <w:rPr>
          <w:sz w:val="20"/>
          <w:szCs w:val="20"/>
          <w:color w:val="auto"/>
        </w:rPr>
      </w:pPr>
    </w:p>
    <w:p>
      <w:pPr>
        <w:ind w:firstLine="646"/>
        <w:spacing w:after="0" w:line="260" w:lineRule="auto"/>
        <w:rPr>
          <w:sz w:val="20"/>
          <w:szCs w:val="20"/>
          <w:color w:val="auto"/>
        </w:rPr>
      </w:pPr>
      <w:r>
        <w:rPr>
          <w:rFonts w:ascii="Times New Roman" w:cs="Times New Roman" w:eastAsia="Times New Roman" w:hAnsi="Times New Roman"/>
          <w:sz w:val="18"/>
          <w:szCs w:val="18"/>
          <w:color w:val="auto"/>
        </w:rPr>
        <w:t>The costs related to significant cybersecurity incidents or disruptions could be material and cause us to incur significant expenses. If the information technology systems of our clinical sites, and other contractors and consultants become subject to disruptions or cybersecurity incidents,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81" w:lineRule="exact"/>
        <w:rPr>
          <w:sz w:val="20"/>
          <w:szCs w:val="20"/>
          <w:color w:val="auto"/>
        </w:rPr>
      </w:pPr>
    </w:p>
    <w:p>
      <w:pPr>
        <w:ind w:right="40" w:firstLine="646"/>
        <w:spacing w:after="0" w:line="254" w:lineRule="auto"/>
        <w:rPr>
          <w:sz w:val="20"/>
          <w:szCs w:val="20"/>
          <w:color w:val="auto"/>
        </w:rPr>
      </w:pPr>
      <w:r>
        <w:rPr>
          <w:rFonts w:ascii="Times New Roman" w:cs="Times New Roman" w:eastAsia="Times New Roman" w:hAnsi="Times New Roman"/>
          <w:sz w:val="18"/>
          <w:szCs w:val="18"/>
          <w:color w:val="auto"/>
        </w:rPr>
        <w:t>We may expend significant resources or modify our business activities (including our clinical trial activities) in an effort to protect against cybersecurity incidents. Certain data privacy and security obligations may require us to implement and maintain specific security measures, industry-standard or reasonable security measures to protect our information technology systems and data. Despite the implementation of security measures in an effort to protect systems that store our information, given their size and complexity and the increasing amounts of information maintained on our internal information technology systems, and those of third parties upon which we rely (including sites performing our clinical trials), there can be no assurance that these measures will be effective. We also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87" w:lineRule="exact"/>
        <w:rPr>
          <w:sz w:val="20"/>
          <w:szCs w:val="20"/>
          <w:color w:val="auto"/>
        </w:rPr>
      </w:pPr>
    </w:p>
    <w:p>
      <w:pPr>
        <w:ind w:firstLine="646"/>
        <w:spacing w:after="0" w:line="252" w:lineRule="auto"/>
        <w:rPr>
          <w:sz w:val="20"/>
          <w:szCs w:val="20"/>
          <w:color w:val="auto"/>
        </w:rPr>
      </w:pPr>
      <w:r>
        <w:rPr>
          <w:rFonts w:ascii="Times New Roman" w:cs="Times New Roman" w:eastAsia="Times New Roman" w:hAnsi="Times New Roman"/>
          <w:sz w:val="18"/>
          <w:szCs w:val="18"/>
          <w:color w:val="auto"/>
        </w:rPr>
        <w:t>If any cybersecurity incidents referenced above were to occur and cause interruptions in our operations, it could result in a disruption of our business and development programs. For example, the loss of clinical trial data from completed or ongoing clinical trials for a drug candidate could result in delays in our regulatory approval efforts and significantly increase our costs to recover or reproduce the data or may limit our ability to effectively execute a product recall, if required in the future. To the extent that any disruption or cybersecurity incident were to result in the loss of or damage to our data or applications, or inappropriate disclosure of personal, confidential or proprietary information, we could incur liability and the further development of any drug candidates could be delayed. Additionally, applicable data privacy and security obligations may require us to notify relevant stakeholders of cybersecurity incidents. Such disclosures are costly, and the disclosures or the failure to comply with such requirements could lead to adverse consequences. If we (or a third party upon whom we rely) experience a cybersecurity incident or are perceived to have experienced a cybersecurity incident, we may experience adverse consequences. These consequences may include: government enforcement actions (for example, investigations, fines, penalties, audits, and inspections), additional reporting requirements and/or oversight, restrictions on processing information (including personal information); litigation (including class claims), indemnification obligations, negative publicity, reputational harm, monetary fund diversions, financial loss, and other similar harms. Cybersecurity incidents and attendant consequences may also deter new clinical trial participants from participating in our services, and negatively impact our ability to operate our business.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65" w:name="page66"/>
    <w:bookmarkEnd w:id="65"/>
    <w:p>
      <w:pPr>
        <w:ind w:right="40"/>
        <w:spacing w:after="0" w:line="25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complex and evolving U.S. federal and state, and international laws and regulations, imposing obligations on how we collect, use, disclose, store and process personal data. We are also subject to information security policies and contractual obligations relating to privacy and data protection, including the use, processing, and cross-border transfer of personal data. The actual or perceived failure by us or vendors to comply with these laws and regulations, policies and contractual obligations could harm our business and/or reputation, and subject us to significant fines and liability.</w:t>
      </w:r>
    </w:p>
    <w:p>
      <w:pPr>
        <w:spacing w:after="0" w:line="184" w:lineRule="exact"/>
        <w:rPr>
          <w:sz w:val="20"/>
          <w:szCs w:val="20"/>
          <w:color w:val="auto"/>
        </w:rPr>
      </w:pPr>
    </w:p>
    <w:p>
      <w:pPr>
        <w:ind w:firstLine="646"/>
        <w:spacing w:after="0" w:line="267" w:lineRule="auto"/>
        <w:rPr>
          <w:sz w:val="20"/>
          <w:szCs w:val="20"/>
          <w:color w:val="auto"/>
        </w:rPr>
      </w:pPr>
      <w:r>
        <w:rPr>
          <w:rFonts w:ascii="Times New Roman" w:cs="Times New Roman" w:eastAsia="Times New Roman" w:hAnsi="Times New Roman"/>
          <w:sz w:val="17"/>
          <w:szCs w:val="17"/>
          <w:color w:val="auto"/>
        </w:rPr>
        <w:t>We are or may become subject to domestic and international data protection laws and regulations that address privacy and data security and may affect our collection, use, storage, and transfer of personal information. The legislative and regulatory landscape for data protection continues to evolve, and in recent years there has been an increasing focus on privacy and data security issues with the potential to affect our business. In the U.S.,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Failure to comply with data protection laws and regulations, where applicable, could result in government enforcement actions, which could include civil or criminal penalties, private litigation and/or adverse publicity and could negatively affect our operating results and business. For example, California has enacted the California Consumer Privacy Act (“CCPA”), which went into effect in January of 2020. The CCPA gives California residents expanded rights to access and require deletion of their personal information, opt out of certain personal information sharing, and receive detailed information about how their personal information is used. The CCPA provides for civil penalties for violations, as well as a private right of action for data breaches that may increase data breach litigation. Although the CCPA includes exemptions for certain categories of health information, the law may increase our compliance costs and potential liability with respect to other personal information we collect about California residents. Additionally in 2020, California voters passed the California Privacy Rights Act (“CPRA”), which went into full effect on January 1, 2023. The CPRA significantly amended the CCPA, potentially resulting in further uncertainty, additional costs and expenses in an effort to comply and additional potential for harm and liability for failure to comply. Among other things, the CPRA established a new regulatory authority, the California Privacy Protection Agency, which is tasked with enacting new regulations under the CPRA and has expanded enforcement authority. In addition to California, more U.S. states are enacting similar legislation, increasing compliance complexity and increasing risks of failures to comply. In 2023, comprehensive privacy laws in Virginia, Colorado, Connecticut, and Utah all took effect, and laws in Montana, Oregon, and Texas take effect during 2024. In addition, laws in other U.S. states are set to take effect beyond 2024, and additional U.S. states have proposals under consideration, all of which are likely to increase our regulatory compliance costs and risks, exposure to regulatory enforcement action, and other liabilities.</w:t>
      </w:r>
    </w:p>
    <w:p>
      <w:pPr>
        <w:spacing w:after="0" w:line="178" w:lineRule="exact"/>
        <w:rPr>
          <w:sz w:val="20"/>
          <w:szCs w:val="20"/>
          <w:color w:val="auto"/>
        </w:rPr>
      </w:pPr>
    </w:p>
    <w:p>
      <w:pPr>
        <w:ind w:firstLine="646"/>
        <w:spacing w:after="0" w:line="252" w:lineRule="auto"/>
        <w:rPr>
          <w:sz w:val="20"/>
          <w:szCs w:val="20"/>
          <w:color w:val="auto"/>
        </w:rPr>
      </w:pPr>
      <w:r>
        <w:rPr>
          <w:rFonts w:ascii="Times New Roman" w:cs="Times New Roman" w:eastAsia="Times New Roman" w:hAnsi="Times New Roman"/>
          <w:sz w:val="18"/>
          <w:szCs w:val="18"/>
          <w:color w:val="auto"/>
        </w:rPr>
        <w:t>Numerous other countries have, or are developing, laws governing the collection, use and transmission of personal information as well. For example, the European Parliament and the Council of the European Union adopted a comprehensive general data privacy framework called the General Data Protection Regulation (“GDPR”) which took effect in May 2018 and governs the collection and use of personal data in the European Union, including by companies outside of the European Union.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the personal data. The GDPR also imposes strict rules on the transfer of personal data out of the European Union to the United States, enhances enforcement authority and imposes large penalties for noncompliance, including the potential for fines of up to €20 million or 4% of the annual global revenues of the infringer, whichever is greater. The GDPR also confers a private right of action on data subjects and consumer associations to lodge complaints with supervisory authorities, seek judicial remedies, and obtain compensation for damages resulting from violations of the GDPR. Compliance with the GDPR has been and will continue to be a rigorous and time-intensive process that has increased and will continue to increase our cost of doing business or require us to change our business practices, and despite those efforts, there is a risk that we may be subject to fines and penalties, litigation and reputational harm in connection with any European activities, which could adversely affect our business, prospects, financial condition and results of operations.</w:t>
      </w:r>
    </w:p>
    <w:p>
      <w:pPr>
        <w:spacing w:after="0" w:line="192" w:lineRule="exact"/>
        <w:rPr>
          <w:sz w:val="20"/>
          <w:szCs w:val="20"/>
          <w:color w:val="auto"/>
        </w:rPr>
      </w:pPr>
    </w:p>
    <w:p>
      <w:pPr>
        <w:ind w:firstLine="646"/>
        <w:spacing w:after="0" w:line="256" w:lineRule="auto"/>
        <w:rPr>
          <w:sz w:val="20"/>
          <w:szCs w:val="20"/>
          <w:color w:val="auto"/>
        </w:rPr>
      </w:pPr>
      <w:r>
        <w:rPr>
          <w:rFonts w:ascii="Times New Roman" w:cs="Times New Roman" w:eastAsia="Times New Roman" w:hAnsi="Times New Roman"/>
          <w:sz w:val="18"/>
          <w:szCs w:val="18"/>
          <w:color w:val="auto"/>
        </w:rPr>
        <w:t>Additionally, following the United Kingdom’s withdrawal from the European Union (i.e., Brexit), and the expiry of the Brexit transition period, which ended on December 31, 2020, the GDPR has been implemented in the United Kingdom (as the UK GDPR). The UK GDPR sits alongside the UK Data Protection Act 2018 which implements certain derogations in the EU GDPR into UK law. Under the UK GDPR, companies not established in the UK but who process personal data in relation to the offering of goods or services to individuals in the UK, or to monitor their behavior will be subject to the UK GDPR – the requirements of which are (at this time) largely aligned with those under the EU GDPR and as such, may lead to similar compliance and operational costs with potential fines of up to £17.5 million or 4% of global turnover.</w:t>
      </w:r>
    </w:p>
    <w:p>
      <w:pPr>
        <w:spacing w:after="0" w:line="184" w:lineRule="exact"/>
        <w:rPr>
          <w:sz w:val="20"/>
          <w:szCs w:val="20"/>
          <w:color w:val="auto"/>
        </w:rPr>
      </w:pPr>
    </w:p>
    <w:p>
      <w:pPr>
        <w:ind w:right="100" w:firstLine="646"/>
        <w:spacing w:after="0" w:line="255" w:lineRule="auto"/>
        <w:rPr>
          <w:sz w:val="20"/>
          <w:szCs w:val="20"/>
          <w:color w:val="auto"/>
        </w:rPr>
      </w:pPr>
      <w:r>
        <w:rPr>
          <w:rFonts w:ascii="Times New Roman" w:cs="Times New Roman" w:eastAsia="Times New Roman" w:hAnsi="Times New Roman"/>
          <w:sz w:val="18"/>
          <w:szCs w:val="18"/>
          <w:color w:val="auto"/>
        </w:rPr>
        <w:t>Applicable data privacy and data protection laws may conflict with each other, and by complying with the laws or regulations of one jurisdiction, we may find that we are violating the laws or regulations of another jurisdiction. Despite our efforts, we may not have fully complied in the past and may not in the future. That could require us to incur significant expenses, which could significantly affect our business. Failure to comply with data protection laws may expose us to risk of enforcement actions taken by data protection authorities or other regulatory agencies, private rights of action in some jurisdictions, and potential significant penalties if we are found to be non-compliant. Furthermore, the number of government investigations related to data security incidents and privacy violations continue to increase and government investigations typically require significant resources and generate negative publicity, which could harm our business and reputation.</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66" w:name="page67"/>
    <w:bookmarkEnd w:id="66"/>
    <w:p>
      <w:pPr>
        <w:ind w:right="5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business activities may be subject to the Foreign Corrupt Practices Act (“FCPA”) and similar anti-bribery and anti-corruption laws of other countries in which we operate.</w:t>
      </w:r>
    </w:p>
    <w:p>
      <w:pPr>
        <w:spacing w:after="0" w:line="159" w:lineRule="exact"/>
        <w:rPr>
          <w:sz w:val="20"/>
          <w:szCs w:val="20"/>
          <w:color w:val="auto"/>
        </w:rPr>
      </w:pPr>
    </w:p>
    <w:p>
      <w:pPr>
        <w:ind w:right="20" w:firstLine="646"/>
        <w:spacing w:after="0" w:line="252" w:lineRule="auto"/>
        <w:rPr>
          <w:sz w:val="20"/>
          <w:szCs w:val="20"/>
          <w:color w:val="auto"/>
        </w:rPr>
      </w:pPr>
      <w:r>
        <w:rPr>
          <w:rFonts w:ascii="Times New Roman" w:cs="Times New Roman" w:eastAsia="Times New Roman" w:hAnsi="Times New Roman"/>
          <w:sz w:val="18"/>
          <w:szCs w:val="18"/>
          <w:color w:val="auto"/>
        </w:rPr>
        <w:t>We intend to initiate studies in countries other than the United States. Our business activities may be subject to the FCPA and similar anti-bribery or anti-corruption laws, regulations or rules of other countries in which we operate.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healthcare providers who prescribe pharmaceuticals are employed by their governments, and the purchasers of pharmaceuticals are government entities; therefore, our dealings with these prescribers and purchasers are subject to regulation under the FCPA. Recently the SEC and U.S. Department of Justice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if approved, in one or more countries and could materially damage our reputation, our brand, our international expansion efforts, our ability to attract and retain employees and our business, prospects, operating results and financial condition.</w:t>
      </w:r>
    </w:p>
    <w:p>
      <w:pPr>
        <w:spacing w:after="0" w:line="184" w:lineRule="exact"/>
        <w:rPr>
          <w:sz w:val="20"/>
          <w:szCs w:val="20"/>
          <w:color w:val="auto"/>
        </w:rPr>
      </w:pPr>
    </w:p>
    <w:p>
      <w:pPr>
        <w:ind w:right="4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incur, and will continue to incur, costs and expect significantly increased costs as a result of operating as a public company, and our management is now required to devote substantial time to new compliance initiatives.</w:t>
      </w:r>
    </w:p>
    <w:p>
      <w:pPr>
        <w:spacing w:after="0" w:line="159" w:lineRule="exact"/>
        <w:rPr>
          <w:sz w:val="20"/>
          <w:szCs w:val="20"/>
          <w:color w:val="auto"/>
        </w:rPr>
      </w:pPr>
    </w:p>
    <w:p>
      <w:pPr>
        <w:ind w:right="140" w:firstLine="646"/>
        <w:spacing w:after="0" w:line="253" w:lineRule="auto"/>
        <w:rPr>
          <w:sz w:val="20"/>
          <w:szCs w:val="20"/>
          <w:color w:val="auto"/>
        </w:rPr>
      </w:pPr>
      <w:r>
        <w:rPr>
          <w:rFonts w:ascii="Times New Roman" w:cs="Times New Roman" w:eastAsia="Times New Roman" w:hAnsi="Times New Roman"/>
          <w:sz w:val="18"/>
          <w:szCs w:val="18"/>
          <w:color w:val="auto"/>
        </w:rPr>
        <w:t>As a public company listed on the Nasdaq Global Market, and particularly if we cease to be a “smaller reporting company,” we are incurring and will continue to incur significant legal, accounting and other expenses that we did not incur as a private company or as a public company without such specified statuses. We are subject to the reporting requirements of the Exchange Act, as well as various requirements imposed by the Sarbanes-Oxley Act, rules subsequently adopted by the SEC and Nasdaq to implement provisions of the Sarbanes-Oxley Act, and the Dodd-Frank Wall Street Reform and Consumer Protection Act.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each of which requires additional attention and effort of management and our board of directors and additional costs.</w:t>
      </w:r>
    </w:p>
    <w:p>
      <w:pPr>
        <w:spacing w:after="0" w:line="188" w:lineRule="exact"/>
        <w:rPr>
          <w:sz w:val="20"/>
          <w:szCs w:val="20"/>
          <w:color w:val="auto"/>
        </w:rPr>
      </w:pPr>
    </w:p>
    <w:p>
      <w:pPr>
        <w:ind w:firstLine="646"/>
        <w:spacing w:after="0" w:line="254" w:lineRule="auto"/>
        <w:rPr>
          <w:sz w:val="20"/>
          <w:szCs w:val="20"/>
          <w:color w:val="auto"/>
        </w:rPr>
      </w:pPr>
      <w:r>
        <w:rPr>
          <w:rFonts w:ascii="Times New Roman" w:cs="Times New Roman" w:eastAsia="Times New Roman" w:hAnsi="Times New Roman"/>
          <w:sz w:val="18"/>
          <w:szCs w:val="18"/>
          <w:color w:val="auto"/>
        </w:rPr>
        <w:t>We expect the rules and regulations applicable to public companies to substantially increase our legal and financial compliance costs and to make some activities more time-consuming and costly. For example, we expect these rules and regulations to make it more difficult and more expensive for us to obtain director and officer liability insurance and we may be required to incur substantial costs to maintain the same or similar coverage. We also expect that we will need to hire additional accounting, finance and other personnel in connection with our efforts to comply with the requirements of being a public company, and our management and other personnel will need to devote a substantial amount of time towards maintaining compliance with these requirements. We cannot predict or estimate the amount or timing of additional costs we may incur to respond to these requirements. The impact of these requirements could also make it more difficult for us to attract and retain qualified persons to serve on our board of directors and committees thereof or as executive officers.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integration of APIRx Pharmaceutical USA, LLC (“APIRx”) with our business operations could undermine our results of operations.</w:t>
      </w:r>
    </w:p>
    <w:p>
      <w:pPr>
        <w:spacing w:after="0" w:line="228" w:lineRule="exact"/>
        <w:rPr>
          <w:sz w:val="20"/>
          <w:szCs w:val="20"/>
          <w:color w:val="auto"/>
        </w:rPr>
      </w:pPr>
    </w:p>
    <w:p>
      <w:pPr>
        <w:ind w:right="200" w:firstLine="646"/>
        <w:spacing w:after="0" w:line="276" w:lineRule="auto"/>
        <w:rPr>
          <w:sz w:val="20"/>
          <w:szCs w:val="20"/>
          <w:color w:val="auto"/>
        </w:rPr>
      </w:pPr>
      <w:r>
        <w:rPr>
          <w:rFonts w:ascii="Times New Roman" w:cs="Times New Roman" w:eastAsia="Times New Roman" w:hAnsi="Times New Roman"/>
          <w:sz w:val="17"/>
          <w:szCs w:val="17"/>
          <w:color w:val="auto"/>
        </w:rPr>
        <w:t>In August 2022, we completed the acquisition of 100% of APIRx (the “Acquisition”). However, our ability to successfully integrate APIRx will depend on the timely integration and consolidation of operations, facilities, procedures, policies and technologies, and the harmonization of differences in the business cultures between APIRx and us. This integration and consolidation is complex and time-consuming, involves additional expense and could disrupt our business and divert management’s attention from ongoing business concerns and our clinical trials. Any failure to successfully integrate the business, operations and employees of APIRx could undermine our results of operations and/or materially and adversely affect our business.</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achieve the expected synergies following the Acquisition.</w:t>
      </w:r>
    </w:p>
    <w:p>
      <w:pPr>
        <w:spacing w:after="0" w:line="228" w:lineRule="exact"/>
        <w:rPr>
          <w:sz w:val="20"/>
          <w:szCs w:val="20"/>
          <w:color w:val="auto"/>
        </w:rPr>
      </w:pPr>
    </w:p>
    <w:p>
      <w:pPr>
        <w:ind w:right="60" w:firstLine="646"/>
        <w:spacing w:after="0" w:line="256" w:lineRule="auto"/>
        <w:rPr>
          <w:sz w:val="20"/>
          <w:szCs w:val="20"/>
          <w:color w:val="auto"/>
        </w:rPr>
      </w:pPr>
      <w:r>
        <w:rPr>
          <w:rFonts w:ascii="Times New Roman" w:cs="Times New Roman" w:eastAsia="Times New Roman" w:hAnsi="Times New Roman"/>
          <w:sz w:val="18"/>
          <w:szCs w:val="18"/>
          <w:color w:val="auto"/>
        </w:rPr>
        <w:t>We believe that the Acquisition will provide us with the opportunity to achieve synergies between Incannex’s clinical trials and APIRx’s clinical projects. The synergies we expect to realize from the Acquisition are, necessarily, based on projections and assumptions about the combined businesses and assume the successful integration of APIRx’s operations into our business and operations. Our projections and assumptions concerning the Acquisition could prove to be inaccurate, however, and we may not successfully integrate APIRx and our operations in a timely manner, or at all. We could also be exposed to unexpected contingencies or liabilities of APIRx or litigation regarding APIRx’s intellectual property portfolio. If we do not realize the anticipated synergies from the Acquisition, our and future profitability could be adversely affected.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exchange rates which may adversely affect our operating results.</w:t>
      </w:r>
    </w:p>
    <w:p>
      <w:pPr>
        <w:spacing w:after="0" w:line="228" w:lineRule="exact"/>
        <w:rPr>
          <w:sz w:val="20"/>
          <w:szCs w:val="20"/>
          <w:color w:val="auto"/>
        </w:rPr>
      </w:pPr>
    </w:p>
    <w:p>
      <w:pPr>
        <w:ind w:right="120" w:firstLine="646"/>
        <w:spacing w:after="0" w:line="260" w:lineRule="auto"/>
        <w:rPr>
          <w:sz w:val="20"/>
          <w:szCs w:val="20"/>
          <w:color w:val="auto"/>
        </w:rPr>
      </w:pPr>
      <w:r>
        <w:rPr>
          <w:rFonts w:ascii="Times New Roman" w:cs="Times New Roman" w:eastAsia="Times New Roman" w:hAnsi="Times New Roman"/>
          <w:sz w:val="18"/>
          <w:szCs w:val="18"/>
          <w:color w:val="auto"/>
        </w:rPr>
        <w:t>We maintain our consolidated financial statements in our functional currency, which is the Australian Dollar. For financial reporting purposes, we present our consolidated financial statements in the U.S. dollar, the reporting currency. Part of our monetary assets and liabilities are denominated in a currency other than our functional currency and are subject to risks associated with currency exchange fluctuation. We are exposed to changes in exchange rates arising from the mismatch of cash flows due to currency exchange fluctuations.</w:t>
      </w:r>
    </w:p>
    <w:p>
      <w:pPr>
        <w:spacing w:after="0" w:line="181" w:lineRule="exact"/>
        <w:rPr>
          <w:sz w:val="20"/>
          <w:szCs w:val="20"/>
          <w:color w:val="auto"/>
        </w:rPr>
      </w:pPr>
    </w:p>
    <w:p>
      <w:pPr>
        <w:ind w:right="60" w:firstLine="646"/>
        <w:spacing w:after="0" w:line="254" w:lineRule="auto"/>
        <w:rPr>
          <w:sz w:val="20"/>
          <w:szCs w:val="20"/>
          <w:color w:val="auto"/>
        </w:rPr>
      </w:pPr>
      <w:r>
        <w:rPr>
          <w:rFonts w:ascii="Times New Roman" w:cs="Times New Roman" w:eastAsia="Times New Roman" w:hAnsi="Times New Roman"/>
          <w:sz w:val="18"/>
          <w:szCs w:val="18"/>
          <w:color w:val="auto"/>
        </w:rPr>
        <w:t>We are also subject to currency translation risk, which arises from the translation into our functional currency for reporting purposes of income from operations conducted in other currencies, which can cause volatility in reported earnings from our business conducted overseas and translation gains and losses. In preparing our financial statements, we translate as follows: assets and liabilities are translated at the exchange rates at the balance sheet dates, expenses and other income (expense), net are translated at the average exchange rates for the periods presented and stockholders’ equity is translated based on historical exchange rates. Translation adjustments are not included in determining net loss but are included as a foreign exchange adjustment to other comprehensive income, a component of stockholders’ equity. We do not believe that a hypothetical 10% increase or decrease in the relative value of the U.S. dollar to other currencies would have had a material effect on our consolidated financial statements included in Part II, Item 8 “Financial Statements and Supplementary Data” of this Annual Report. We do not currently maintain a program to hedge exposures to non-U.S. dollar currencies.</w:t>
      </w:r>
    </w:p>
    <w:p>
      <w:pPr>
        <w:spacing w:after="0" w:line="187" w:lineRule="exact"/>
        <w:rPr>
          <w:sz w:val="20"/>
          <w:szCs w:val="20"/>
          <w:color w:val="auto"/>
        </w:rPr>
      </w:pPr>
    </w:p>
    <w:p>
      <w:pPr>
        <w:ind w:right="80" w:firstLine="646"/>
        <w:spacing w:after="0" w:line="256" w:lineRule="auto"/>
        <w:rPr>
          <w:sz w:val="20"/>
          <w:szCs w:val="20"/>
          <w:color w:val="auto"/>
        </w:rPr>
      </w:pPr>
      <w:r>
        <w:rPr>
          <w:rFonts w:ascii="Times New Roman" w:cs="Times New Roman" w:eastAsia="Times New Roman" w:hAnsi="Times New Roman"/>
          <w:sz w:val="18"/>
          <w:szCs w:val="18"/>
          <w:color w:val="auto"/>
        </w:rPr>
        <w:t>We write business on a global basis, and our results of operations may be affected by fluctuations in the value of currencies other than the U.S. Dollar. The primary international currencies in which we currently operate are the Australian Dollar. However, in the future, we expect to derive a significant portion of our net revenue and incur a significant portion of our operating costs inside the United States, and changes in exchange rates may have a significant, and potentially adverse, effect on our results of operations. Changes in foreign currency exchange rates could reduce our revenues or increase our liabilities and costs. We could therefore suffer losses solely as a result of exchange rate fluctuations. We cannot assure you that we will be able to manage these risks effectively or that they will not have an adverse effect on our business, financial condition or results of operations.</w:t>
      </w:r>
    </w:p>
    <w:p>
      <w:pPr>
        <w:spacing w:after="0" w:line="180" w:lineRule="exact"/>
        <w:rPr>
          <w:sz w:val="20"/>
          <w:szCs w:val="20"/>
          <w:color w:val="auto"/>
        </w:rPr>
      </w:pPr>
    </w:p>
    <w:p>
      <w:pPr>
        <w:ind w:right="14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There is a scarcity of experienced professionals in our industry. If we are not able to retain and recruit personnel with the requisite technical skills, we may be unable to successfully execute our business strategy.</w:t>
      </w:r>
    </w:p>
    <w:p>
      <w:pPr>
        <w:spacing w:after="0" w:line="159" w:lineRule="exact"/>
        <w:rPr>
          <w:sz w:val="20"/>
          <w:szCs w:val="20"/>
          <w:color w:val="auto"/>
        </w:rPr>
      </w:pPr>
    </w:p>
    <w:p>
      <w:pPr>
        <w:ind w:right="120" w:firstLine="646"/>
        <w:spacing w:after="0" w:line="255" w:lineRule="auto"/>
        <w:rPr>
          <w:sz w:val="20"/>
          <w:szCs w:val="20"/>
          <w:color w:val="auto"/>
        </w:rPr>
      </w:pPr>
      <w:r>
        <w:rPr>
          <w:rFonts w:ascii="Times New Roman" w:cs="Times New Roman" w:eastAsia="Times New Roman" w:hAnsi="Times New Roman"/>
          <w:sz w:val="18"/>
          <w:szCs w:val="18"/>
          <w:color w:val="auto"/>
        </w:rPr>
        <w:t>The specialized nature of our industry results in an inherent scarcity of experienced personnel in the field. Our future success depends upon our ability to attract and retain highly skilled personnel, including scientific, technical, laboratory, sales, marketing, business, regulatory, and administrative personnel necessary to support our anticipated growth, develop our business, and perform certain contractual obligations. Given the scarcity of professionals with the scientific knowledge that we require and the competition for qualified personnel among life science businesses, we may not succeed in attracting or retaining the personnel we require to continue and grow our operations. If we are not able to attract and retain necessary personnel and consultants to accomplish our business objectives, we may experience constraints that will significantly impede the achievement of our development and commercial objectives, our ability to raise additional capital and our ability to implement our business strategy.</w:t>
      </w:r>
    </w:p>
    <w:p>
      <w:pPr>
        <w:spacing w:after="0" w:line="184" w:lineRule="exact"/>
        <w:rPr>
          <w:sz w:val="20"/>
          <w:szCs w:val="20"/>
          <w:color w:val="auto"/>
        </w:rPr>
      </w:pPr>
    </w:p>
    <w:p>
      <w:pPr>
        <w:ind w:firstLine="646"/>
        <w:spacing w:after="0" w:line="257" w:lineRule="auto"/>
        <w:rPr>
          <w:sz w:val="20"/>
          <w:szCs w:val="20"/>
          <w:color w:val="auto"/>
        </w:rPr>
      </w:pPr>
      <w:r>
        <w:rPr>
          <w:rFonts w:ascii="Times New Roman" w:cs="Times New Roman" w:eastAsia="Times New Roman" w:hAnsi="Times New Roman"/>
          <w:sz w:val="18"/>
          <w:szCs w:val="18"/>
          <w:color w:val="auto"/>
        </w:rPr>
        <w:t>Our industry has experienced a high rate of turnover of management personnel in recent years. We are highly dependent on the development, regulatory, commercialization and business development expertise of the members of our executive team, as well as other key employees and consultants. If we lose one or more of our executive officers or other key employees or consultants, our ability to implement our business strategy successfully could be seriously harmed. Competition to hire and retain employees and consultants from this limited pool is intense, and we may be unable to hire, train, retain or motivate such individuals.</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68" w:name="page69"/>
    <w:bookmarkEnd w:id="68"/>
    <w:p>
      <w:pPr>
        <w:ind w:right="2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geopolitical events, accidents, conflicts, medical epidemics or pandemics, extreme weather or other natural disasters.</w:t>
      </w:r>
    </w:p>
    <w:p>
      <w:pPr>
        <w:spacing w:after="0" w:line="159" w:lineRule="exact"/>
        <w:rPr>
          <w:sz w:val="20"/>
          <w:szCs w:val="20"/>
          <w:color w:val="auto"/>
        </w:rPr>
      </w:pPr>
    </w:p>
    <w:p>
      <w:pPr>
        <w:ind w:right="80" w:firstLine="646"/>
        <w:spacing w:after="0" w:line="270" w:lineRule="auto"/>
        <w:rPr>
          <w:sz w:val="20"/>
          <w:szCs w:val="20"/>
          <w:color w:val="auto"/>
        </w:rPr>
      </w:pPr>
      <w:r>
        <w:rPr>
          <w:rFonts w:ascii="Times New Roman" w:cs="Times New Roman" w:eastAsia="Times New Roman" w:hAnsi="Times New Roman"/>
          <w:sz w:val="17"/>
          <w:szCs w:val="17"/>
          <w:color w:val="auto"/>
        </w:rPr>
        <w:t>Our business, and and any third parties with whom we do business, may be adversely affected by accidents, power shortages, telecommunications failures, war, conflicts (such as the current conflicts in the Middle East and the conflict between the Russian Federation and the Ukraine) acts of terrorism, protests or other geopolitical events. Any unplanned event that results in us, or our third-party partners, being unable to fully utilize facilities or technology may have a material and adverse effect on our ability to operate our business, conduct our research and development activities and to generally maintain operations. We may incur substantial expenses as a result of the limited nature of our, or our third-party’s, disaster recovery and business continuity plans. While we may maintain insurance as we deem reasonably appropriate, many of these contingencies would likely not be covered by insurance, and we cannot assure you that the amounts of insurance coverage that we may acquire or have acquried will be sufficient to satisfy any damages and losses. If we or our third party partners are unable to operate, even for a short period of time, any or all of our research and development programs may be harmed. Any business interruption may have a material and adverse effect on our business, financial condition, results of operations and prospects.</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4" w:lineRule="exact"/>
        <w:rPr>
          <w:sz w:val="20"/>
          <w:szCs w:val="20"/>
          <w:color w:val="auto"/>
        </w:rPr>
      </w:pPr>
    </w:p>
    <w:p>
      <w:pPr>
        <w:ind w:right="84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on our ability to protect our intellectual property and our proprietary technology, and we may not be able to protect our intellectual property rights throughout the world.</w:t>
      </w:r>
    </w:p>
    <w:p>
      <w:pPr>
        <w:spacing w:after="0" w:line="159" w:lineRule="exact"/>
        <w:rPr>
          <w:sz w:val="20"/>
          <w:szCs w:val="20"/>
          <w:color w:val="auto"/>
        </w:rPr>
      </w:pPr>
    </w:p>
    <w:p>
      <w:pPr>
        <w:ind w:right="60" w:firstLine="646"/>
        <w:spacing w:after="0" w:line="265" w:lineRule="auto"/>
        <w:rPr>
          <w:sz w:val="20"/>
          <w:szCs w:val="20"/>
          <w:color w:val="auto"/>
        </w:rPr>
      </w:pPr>
      <w:r>
        <w:rPr>
          <w:rFonts w:ascii="Times New Roman" w:cs="Times New Roman" w:eastAsia="Times New Roman" w:hAnsi="Times New Roman"/>
          <w:sz w:val="18"/>
          <w:szCs w:val="18"/>
          <w:color w:val="auto"/>
        </w:rPr>
        <w:t>Our success is to a certain degree also dependent on our ability to obtain and maintain protection of our intellectual property portfolio, including the assets acquired through the Acquisition or, where applicable, to receive/maintain orphan drug designation/status and resulting marketing exclusivity for our drug candidates, and we may not be able to protect our intellectual property rights throughout the world.</w:t>
      </w:r>
    </w:p>
    <w:p>
      <w:pPr>
        <w:spacing w:after="0" w:line="176" w:lineRule="exact"/>
        <w:rPr>
          <w:sz w:val="20"/>
          <w:szCs w:val="20"/>
          <w:color w:val="auto"/>
        </w:rPr>
      </w:pPr>
    </w:p>
    <w:p>
      <w:pPr>
        <w:ind w:right="140" w:firstLine="646"/>
        <w:spacing w:after="0" w:line="265" w:lineRule="auto"/>
        <w:rPr>
          <w:sz w:val="20"/>
          <w:szCs w:val="20"/>
          <w:color w:val="auto"/>
        </w:rPr>
      </w:pPr>
      <w:r>
        <w:rPr>
          <w:rFonts w:ascii="Times New Roman" w:cs="Times New Roman" w:eastAsia="Times New Roman" w:hAnsi="Times New Roman"/>
          <w:sz w:val="18"/>
          <w:szCs w:val="18"/>
          <w:color w:val="auto"/>
        </w:rPr>
        <w:t>We may be materially adversely affected by our failure or inability to protect our intellectual property rights. Without the granting of these rights, the ability to pursue damages for infringement would be limited. Similarly, any know-how that is proprietary or particular to our technologies may be subject to risk of disclosure by employees or consultants despite having confidentiality agreements in place.</w:t>
      </w:r>
    </w:p>
    <w:p>
      <w:pPr>
        <w:spacing w:after="0" w:line="176" w:lineRule="exact"/>
        <w:rPr>
          <w:sz w:val="20"/>
          <w:szCs w:val="20"/>
          <w:color w:val="auto"/>
        </w:rPr>
      </w:pPr>
    </w:p>
    <w:p>
      <w:pPr>
        <w:ind w:firstLine="646"/>
        <w:spacing w:after="0" w:line="252" w:lineRule="auto"/>
        <w:rPr>
          <w:sz w:val="20"/>
          <w:szCs w:val="20"/>
          <w:color w:val="auto"/>
        </w:rPr>
      </w:pPr>
      <w:r>
        <w:rPr>
          <w:rFonts w:ascii="Times New Roman" w:cs="Times New Roman" w:eastAsia="Times New Roman" w:hAnsi="Times New Roman"/>
          <w:sz w:val="18"/>
          <w:szCs w:val="18"/>
          <w:color w:val="auto"/>
        </w:rPr>
        <w:t>Any future success will depend in part on whether we can obtain and maintain patents to protect our own products and technologies; obtain licenses to the patented technologies of third parties; and operate without infringing on the proprietary rights of third parties. Biotechnology patent matters can involve complex legal and scientific questions, and it is impossible to predict the outcome of biotechnology and pharmaceutical patent claims. Any of our future patent applications may not be approved, or we may not develop additional products or processes that are patentable. Filing, prosecuting and defending patents on drug candidates in all countries throughout the world would be prohibitively expensive. In addition, the laws of some international countries do not protect intellectual property rights to the same extent as federal or state laws in the United States. For instance, some countries in which we may sell our drug candidate or license our intellectual property may fail to protect our intellectual property rights to the same extent as the protection that may be afforded in the United States or Australia. Some countries in Europe and China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or any of our licensors is, forced to grant a license to third parties with respect to any patents relevant to our business, our competitive position or commercial advantage may be impaired, and our business and results of operations may be adversely affected</w:t>
      </w:r>
    </w:p>
    <w:p>
      <w:pPr>
        <w:spacing w:after="0" w:line="193" w:lineRule="exact"/>
        <w:rPr>
          <w:sz w:val="20"/>
          <w:szCs w:val="20"/>
          <w:color w:val="auto"/>
        </w:rPr>
      </w:pPr>
    </w:p>
    <w:p>
      <w:pPr>
        <w:ind w:right="20" w:firstLine="646"/>
        <w:spacing w:after="0" w:line="252" w:lineRule="auto"/>
        <w:rPr>
          <w:sz w:val="20"/>
          <w:szCs w:val="20"/>
          <w:color w:val="auto"/>
        </w:rPr>
      </w:pPr>
      <w:r>
        <w:rPr>
          <w:rFonts w:ascii="Times New Roman" w:cs="Times New Roman" w:eastAsia="Times New Roman" w:hAnsi="Times New Roman"/>
          <w:sz w:val="18"/>
          <w:szCs w:val="18"/>
          <w:color w:val="auto"/>
        </w:rPr>
        <w:t>Some legal principles remain unresolved and there has not been a consistent policy regarding the breadth or interpretation of claims allowed in patents in the United States, the United Kingdom, the European Union, Australia or elsewhere. In addition, the specific content of patents and patent applications that are necessary to support and interpret patent claims is highly uncertain due to the complex nature of the relevant legal, scientific and factual issues. Changes in either patent laws or in interpretations of patent laws in Australia, the United States, the United Kingdom, the European Union or elsewhere may diminish the value of our intellectual property or narrow the scope of our patent protection. Even if we are able to obtain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technologies or products in a non-infringing manner and export infringing products to territories where we do not have patent protection, or to territories where we have patent protection, but where enforcement is not as strong as that in the United States. These products may compete with our products, and our patents or other intellectual property rights may not be effective or sufficient to prevent them from competing. We may also fail to take the required actions or pay the necessary fees to maintain our patents.</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69" w:name="page70"/>
    <w:bookmarkEnd w:id="69"/>
    <w:p>
      <w:pPr>
        <w:ind w:right="60" w:firstLine="646"/>
        <w:spacing w:after="0" w:line="255" w:lineRule="auto"/>
        <w:rPr>
          <w:sz w:val="20"/>
          <w:szCs w:val="20"/>
          <w:color w:val="auto"/>
        </w:rPr>
      </w:pPr>
      <w:r>
        <w:rPr>
          <w:rFonts w:ascii="Times New Roman" w:cs="Times New Roman" w:eastAsia="Times New Roman" w:hAnsi="Times New Roman"/>
          <w:sz w:val="18"/>
          <w:szCs w:val="18"/>
          <w:color w:val="auto"/>
        </w:rPr>
        <w:t>Moreover, any of our pending applications may be subject to a third-party pre-issuance submission of prior art to the USPTO, the European Patent Office (“EPO”), the Intellectual Property Office (“IPO”), in the United Kingdom, the Australian Patent and Trademark Office and/or any patents issuing thereon may become involved in opposition, derivation, reexamination, post grant review, interference proceedings or other patent office proceedings or litigation, in the United States or elsewhere, challenging our patent rights. An adverse determination in any such submission, proceeding or litigation could reduce the scope of, or invalidate, our patent rights, and allow third parties to commercialize our technology or products and compete directly with us, without payment to us. In addition, if the breadth or strength of protection provided by our patents and patent applications is threatened, it could dissuade companies from collaborating with us to exploit our intellectual property or develop and commercialize drug candidates.</w:t>
      </w:r>
    </w:p>
    <w:p>
      <w:pPr>
        <w:spacing w:after="0" w:line="184" w:lineRule="exact"/>
        <w:rPr>
          <w:sz w:val="20"/>
          <w:szCs w:val="20"/>
          <w:color w:val="auto"/>
        </w:rPr>
      </w:pPr>
    </w:p>
    <w:p>
      <w:pPr>
        <w:ind w:right="140" w:firstLine="646"/>
        <w:spacing w:after="0" w:line="257" w:lineRule="auto"/>
        <w:rPr>
          <w:sz w:val="20"/>
          <w:szCs w:val="20"/>
          <w:color w:val="auto"/>
        </w:rPr>
      </w:pPr>
      <w:r>
        <w:rPr>
          <w:rFonts w:ascii="Times New Roman" w:cs="Times New Roman" w:eastAsia="Times New Roman" w:hAnsi="Times New Roman"/>
          <w:sz w:val="18"/>
          <w:szCs w:val="18"/>
          <w:color w:val="auto"/>
        </w:rPr>
        <w:t>The issuance of a patent is not conclusive as to the inventorship, scope, validity or enforceability, and our patents may be challenged in the courts or patent offices in the United States, the European Union, Australia and elsewhere. Such challenges may result in loss of ownership or in patent claims being narrowed, invalidated or held unenforceable, in whole or in part, which could limit the duration of the patent protection of our technology and products. As a result, our patent portfolio may not provide us with sufficient rights to exclude others from commercializing products similar or identical to ours.</w:t>
      </w:r>
    </w:p>
    <w:p>
      <w:pPr>
        <w:spacing w:after="0" w:line="185" w:lineRule="exact"/>
        <w:rPr>
          <w:sz w:val="20"/>
          <w:szCs w:val="20"/>
          <w:color w:val="auto"/>
        </w:rPr>
      </w:pPr>
    </w:p>
    <w:p>
      <w:pPr>
        <w:ind w:firstLine="646"/>
        <w:spacing w:after="0" w:line="252" w:lineRule="auto"/>
        <w:rPr>
          <w:sz w:val="20"/>
          <w:szCs w:val="20"/>
          <w:color w:val="auto"/>
        </w:rPr>
      </w:pPr>
      <w:r>
        <w:rPr>
          <w:rFonts w:ascii="Times New Roman" w:cs="Times New Roman" w:eastAsia="Times New Roman" w:hAnsi="Times New Roman"/>
          <w:sz w:val="18"/>
          <w:szCs w:val="18"/>
          <w:color w:val="auto"/>
        </w:rPr>
        <w:t>In addition, other companies may attempt to circumvent any regulatory data protection or market exclusivity that we obtain under applicable legislation, which may require us to allocate significant resources to prevent such circumvention. Such developments could enable other companies to circumvent our intellectual property rights and use our clinical trial data to obtain marketing authorizations in the European Union, Australia and in other jurisdictions. Such developments may also require us to allocate significant resources to prevent other companies from circumventing or violating our intellectual property rights because the legal systems of some countries do not favor the enforcement of patents, trade secrets and other intellectual property protection, particularly those relating to healthcare, medicine, or biotechnology products, which could make it difficult for us to stop the infringement of our patents or marketing of competing products in violation of our proprietary rights generally. Proceedings to enforce our patent rights in international jurisdictions, whether or not successful, could result in substantial costs and divert our resources,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189" w:lineRule="exact"/>
        <w:rPr>
          <w:sz w:val="20"/>
          <w:szCs w:val="20"/>
          <w:color w:val="auto"/>
        </w:rPr>
      </w:pPr>
    </w:p>
    <w:p>
      <w:pPr>
        <w:ind w:right="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If an event of default occurs under our issued and outstanding secured convertible debentures issued pursuant to the September 2024 Purchase Agreement, the holder may seek to enforce the related lien against substantially all of our assets.</w:t>
      </w:r>
    </w:p>
    <w:p>
      <w:pPr>
        <w:spacing w:after="0" w:line="159" w:lineRule="exact"/>
        <w:rPr>
          <w:sz w:val="20"/>
          <w:szCs w:val="20"/>
          <w:color w:val="auto"/>
        </w:rPr>
      </w:pPr>
    </w:p>
    <w:p>
      <w:pPr>
        <w:ind w:right="40" w:firstLine="646"/>
        <w:spacing w:after="0" w:line="257" w:lineRule="auto"/>
        <w:rPr>
          <w:sz w:val="20"/>
          <w:szCs w:val="20"/>
          <w:color w:val="auto"/>
        </w:rPr>
      </w:pPr>
      <w:r>
        <w:rPr>
          <w:rFonts w:ascii="Times New Roman" w:cs="Times New Roman" w:eastAsia="Times New Roman" w:hAnsi="Times New Roman"/>
          <w:sz w:val="18"/>
          <w:szCs w:val="18"/>
          <w:color w:val="auto"/>
        </w:rPr>
        <w:t>In connection with the September 2024 Purchase Agreement, we executed a Security Agreement in favor of the noteholder granting a security interest in all of our owned assets, whether currently owned or later acquired. If an event of default, including a default arising from our inability to pay any amounts due, occurs under the September 2024 Purchase Agreement or under the convertible debentures, the noteholder has a secured interest in substantially all of our assets. If the holder were to seek to foreclose or otherwise avail their rights pursuant to the convertible debenture, our business, results of operations, prospects and the value of our common stock would be materially and adversely affected.</w:t>
      </w:r>
    </w:p>
    <w:p>
      <w:pPr>
        <w:spacing w:after="0" w:line="181" w:lineRule="exact"/>
        <w:rPr>
          <w:sz w:val="20"/>
          <w:szCs w:val="20"/>
          <w:color w:val="auto"/>
        </w:rPr>
      </w:pPr>
    </w:p>
    <w:p>
      <w:pPr>
        <w:ind w:right="28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rights of third parties could adversely affect our ability to commercialize our drug candidates, such that we could be required to litigate with or obtain licenses from third parties in order to develop or market our drug candidates.</w:t>
      </w:r>
    </w:p>
    <w:p>
      <w:pPr>
        <w:spacing w:after="0" w:line="159" w:lineRule="exact"/>
        <w:rPr>
          <w:sz w:val="20"/>
          <w:szCs w:val="20"/>
          <w:color w:val="auto"/>
        </w:rPr>
      </w:pPr>
    </w:p>
    <w:p>
      <w:pPr>
        <w:ind w:right="80" w:firstLine="646"/>
        <w:spacing w:after="0" w:line="260" w:lineRule="auto"/>
        <w:rPr>
          <w:sz w:val="20"/>
          <w:szCs w:val="20"/>
          <w:color w:val="auto"/>
        </w:rPr>
      </w:pPr>
      <w:r>
        <w:rPr>
          <w:rFonts w:ascii="Times New Roman" w:cs="Times New Roman" w:eastAsia="Times New Roman" w:hAnsi="Times New Roman"/>
          <w:sz w:val="18"/>
          <w:szCs w:val="18"/>
          <w:color w:val="auto"/>
        </w:rPr>
        <w:t>Our commercial success may depend upon our future ability and the ability of our potential collaborators to develop, manufacture, market and sell our drug candidates without infringing on valid intellectual property rights of third parties. If a third-party intellectual property right exists it may require the pursuit of litigation or administrative proceedings to nullify or invalidate the third-party intellectual property right concerned, or entry into a license agreement with the intellectual property right holder, which may not be available on commercially reasonable terms, if at all.</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70" w:name="page71"/>
    <w:bookmarkEnd w:id="70"/>
    <w:p>
      <w:pPr>
        <w:ind w:firstLine="646"/>
        <w:spacing w:after="0" w:line="251" w:lineRule="auto"/>
        <w:rPr>
          <w:sz w:val="20"/>
          <w:szCs w:val="20"/>
          <w:color w:val="auto"/>
        </w:rPr>
      </w:pPr>
      <w:r>
        <w:rPr>
          <w:rFonts w:ascii="Times New Roman" w:cs="Times New Roman" w:eastAsia="Times New Roman" w:hAnsi="Times New Roman"/>
          <w:sz w:val="18"/>
          <w:szCs w:val="18"/>
          <w:color w:val="auto"/>
        </w:rPr>
        <w:t>Third-party intellectual property right holders, including our competitors, may bring infringement claims against us. We may not be able to successfully settle or otherwise resolve such infringement claims. If we are unable to successfully settle future claims or otherwise resolve such claims on terms acceptable to us, we may be required to engage in or continue costly, unpredictable and time-consuming litigation and may be prevented from, or experience substantial delays in, marketing our drug candidate. There have been many lawsuits and other proceedings involving patent and other intellectual property rights in the biotechnology and pharmaceutical industries, including patent infringement lawsuits, interferences, oppositions and reexamination proceedings before the USPTO and corresponding international patent offices. Third parties own numerous U.S. and international issued patents and pending patent applications in the fields in which we are developing drug candidates. As the biotechnology and pharmaceutical industries expand and more patents are issued, the risk increases that our drug candidates may be subject to claims of infringement of the patent rights of third parties. Parties making patent infringement claims against us may obtain injunctive or other equitable relief, which could effectively block our ability to further develop and commercialize one or more of our drug candidates. Defense of these claims, regardless of their merit, may involve substantial litigation expenses and may require a substantial diversion of resources from our business. In the event of a successful claim of patent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Further, if we were to seek a license from the third-party holder of any applicable intellectual property rights, we may not be able to obtain the applicable license rights when needed or on reasonable terms, or at all. Some of our competitors may be able to sustain the costs of complex patent litigation or proceeding more effectively than us due to their substantially greater resources. The occurrence of any of the above events could prevent us from continuing to develop and commercialize one or more of our drug candidates and our business could materially suffer.</w:t>
      </w:r>
    </w:p>
    <w:p>
      <w:pPr>
        <w:spacing w:after="0" w:line="199" w:lineRule="exact"/>
        <w:rPr>
          <w:sz w:val="20"/>
          <w:szCs w:val="20"/>
          <w:color w:val="auto"/>
        </w:rPr>
      </w:pPr>
    </w:p>
    <w:p>
      <w:pPr>
        <w:ind w:right="60" w:firstLine="646"/>
        <w:spacing w:after="0" w:line="257" w:lineRule="auto"/>
        <w:rPr>
          <w:sz w:val="20"/>
          <w:szCs w:val="20"/>
          <w:color w:val="auto"/>
        </w:rPr>
      </w:pPr>
      <w:r>
        <w:rPr>
          <w:rFonts w:ascii="Times New Roman" w:cs="Times New Roman" w:eastAsia="Times New Roman" w:hAnsi="Times New Roman"/>
          <w:sz w:val="18"/>
          <w:szCs w:val="18"/>
          <w:color w:val="auto"/>
        </w:rPr>
        <w:t>If we fail to settle or otherwise resolve any such dispute, in addition to being forced to pay damages, we or our potential collaborators may be prohibited from commercializing any drug candidates we may develop that are held to be infringing, for the duration of the patent term. We might, if possible, also be forced to redesign our formulations so that we no longer infringe such third-party intellectual property rights. Any of these events, even if we were ultimately to prevail, could result in injury to our reputation or require us to divert substantial financial and management resources that we would otherwise be able to devote to our business.</w:t>
      </w:r>
    </w:p>
    <w:p>
      <w:pPr>
        <w:spacing w:after="0" w:line="181" w:lineRule="exact"/>
        <w:rPr>
          <w:sz w:val="20"/>
          <w:szCs w:val="20"/>
          <w:color w:val="auto"/>
        </w:rPr>
      </w:pPr>
    </w:p>
    <w:p>
      <w:pPr>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ind w:right="40" w:firstLine="646"/>
        <w:spacing w:after="0" w:line="253" w:lineRule="auto"/>
        <w:rPr>
          <w:sz w:val="20"/>
          <w:szCs w:val="20"/>
          <w:color w:val="auto"/>
        </w:rPr>
      </w:pPr>
      <w:r>
        <w:rPr>
          <w:rFonts w:ascii="Times New Roman" w:cs="Times New Roman" w:eastAsia="Times New Roman" w:hAnsi="Times New Roman"/>
          <w:sz w:val="18"/>
          <w:szCs w:val="18"/>
          <w:color w:val="auto"/>
        </w:rPr>
        <w:t>Because we collaborate with various organizations and academic institutions on the advancement of our technology and drug candidates, we may, at times, share trade secrets with them. We seek to protect our proprietary technology in part by entering into confidentiality agreements and, if applicable, material transfer agreements, collaborative research agreements, consulting agreements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 Despite these contractual provisions, the need to share trade secrets and other confidential information increases the risk that such trade secrets become known by potential competitors, are inadvertently incorporated into the technology of others, or are disclosed or used in violation of these agreements. Given that our proprietary position is based, in part, on our know-how and trade secrets, discovery by a third party of our trade secrets or other unauthorized use or disclosure would impair our intellectual property rights and protections in our drug candidates.</w:t>
      </w:r>
    </w:p>
    <w:p>
      <w:pPr>
        <w:spacing w:after="0" w:line="191" w:lineRule="exact"/>
        <w:rPr>
          <w:sz w:val="20"/>
          <w:szCs w:val="20"/>
          <w:color w:val="auto"/>
        </w:rPr>
      </w:pPr>
    </w:p>
    <w:p>
      <w:pPr>
        <w:ind w:right="220" w:firstLine="646"/>
        <w:spacing w:after="0" w:line="256"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collaborators, advisors, employees and consultants to publish data potentially relating to our trade secrets. Our academic collaborators typically have rights to publish data, provided that we are notified in advance and may delay publication for a specified time in order to secure our intellectual property rights arising from the collaboration. In other cases, publication rights are controlled exclusively by us. In other cases, we may share these rights with other parties. Despite our efforts to protect our trade secrets, our competitors may discover our trade secrets, either through breach of these agreements, independent development or publication of information including our trade secrets in cases where we do not have proprietary or otherwise protected rights at the time of publication.</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180"/>
          </w:cols>
          <w:pgMar w:left="320" w:top="875" w:right="399" w:bottom="1440" w:gutter="0" w:footer="0" w:header="0"/>
        </w:sectPr>
      </w:pPr>
    </w:p>
    <w:bookmarkStart w:id="71" w:name="page72"/>
    <w:bookmarkEnd w:id="71"/>
    <w:p>
      <w:pPr>
        <w:ind w:right="4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could be required to incur significant expenses to obtain our intellectual property rights, and we cannot ensure that we will obtain meaningful patent protection for our drug candidates.</w:t>
      </w:r>
    </w:p>
    <w:p>
      <w:pPr>
        <w:spacing w:after="0" w:line="159" w:lineRule="exact"/>
        <w:rPr>
          <w:sz w:val="20"/>
          <w:szCs w:val="20"/>
          <w:color w:val="auto"/>
        </w:rPr>
      </w:pPr>
    </w:p>
    <w:p>
      <w:pPr>
        <w:ind w:firstLine="646"/>
        <w:spacing w:after="0" w:line="251"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may not be able to file and prosecute all necessary or desirable patent applications at a reasonable cost or in a timely manner. In addition, it is also possible that we will fail to identify patentable aspects of further inventions made in the course of our research, development or commercialization activities before they are publicly disclosed, making it in many cases too late to obtain patent protection on them. Further, given the amount of time required for the development, testing and regulatory review of new drug candidates, patents protecting such candidates might expire before or shortly after such candidates are commercialized. We expect to seek extensions of patent terms where these are available in any countries where we are prosecuting patents. This includes in the United States under the Drug Price Competition and Patent Term Restoration Act of 1984, which permits a patent term extension of up to five years beyond the expiration of a patent that covers an approved product where the permission for the commercial marketing or use of the product is the first permitted commercial marketing or use, and as long as the remaining term of the patent does not exceed 14 years from the product’s approval date. However, the applicable authorities, including the FDA in the United States, and any comparable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launch their product earlier than might otherwise be the case. Changes in either the patent laws or interpretation of the patent laws in the United States and other countries may diminish the value of our patents or narrow the scope of our patent protection. The laws of international countries may not protect our rights to the same extent as the laws of the United States, and these international laws may also be subject to change.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or our past, current or future collaboration partners or licensors were the first to make the inventions claimed in our owned or licensed patents or pending patent applications, or that we or our past, current or future collaboration partners or licensors were the first to file for patent protection of such inventions.</w:t>
      </w:r>
    </w:p>
    <w:p>
      <w:pPr>
        <w:spacing w:after="0" w:line="193" w:lineRule="exact"/>
        <w:rPr>
          <w:sz w:val="20"/>
          <w:szCs w:val="20"/>
          <w:color w:val="auto"/>
        </w:rPr>
      </w:pPr>
    </w:p>
    <w:p>
      <w:pPr>
        <w:jc w:val="both"/>
        <w:ind w:right="54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ind w:right="120" w:firstLine="646"/>
        <w:spacing w:after="0" w:line="256"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and applications are required to be paid to the United State Patent and Trademark Office and other governmental patent agencies outside of the United States in several stages over the lifetime of the patents and applications. The USPTO and various corresponding governmental patent agencies outside of the United States require compliance with a number of procedural, documentary, fee payment and other similar provisions during the patent application process and after a patent has issued. There are situations in which non-compliance can result in abandonment or lapse of the patent or patent application, resulting in partial or complete loss of patent rights in the relevant jurisdiction.</w:t>
      </w:r>
    </w:p>
    <w:p>
      <w:pPr>
        <w:spacing w:after="0" w:line="180" w:lineRule="exact"/>
        <w:rPr>
          <w:sz w:val="20"/>
          <w:szCs w:val="20"/>
          <w:color w:val="auto"/>
        </w:rPr>
      </w:pPr>
    </w:p>
    <w:p>
      <w:pPr>
        <w:ind w:right="34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and defend our patents or other intellectual property, which could be expensive, time consuming and unsuccessful.</w:t>
      </w:r>
    </w:p>
    <w:p>
      <w:pPr>
        <w:spacing w:after="0" w:line="159" w:lineRule="exact"/>
        <w:rPr>
          <w:sz w:val="20"/>
          <w:szCs w:val="20"/>
          <w:color w:val="auto"/>
        </w:rPr>
      </w:pPr>
    </w:p>
    <w:p>
      <w:pPr>
        <w:ind w:right="40" w:firstLine="646"/>
        <w:spacing w:after="0" w:line="256" w:lineRule="auto"/>
        <w:rPr>
          <w:sz w:val="20"/>
          <w:szCs w:val="20"/>
          <w:color w:val="auto"/>
        </w:rPr>
      </w:pPr>
      <w:r>
        <w:rPr>
          <w:rFonts w:ascii="Times New Roman" w:cs="Times New Roman" w:eastAsia="Times New Roman" w:hAnsi="Times New Roman"/>
          <w:sz w:val="18"/>
          <w:szCs w:val="18"/>
          <w:color w:val="auto"/>
        </w:rPr>
        <w:t>Competitors may infringe our patents or other intellectual property, and we may inadvertently infringe the patent or intellectual property of others. To counter infringement or unauthorized use, we may be required to file claims, and any related litigation and/or prosecution of such claims can be expensive and time consuming. Any claims we assert against perceived infringers could provoke these parties to assert counterclaims against us alleging that we infringe their intellectual property. In addition, in a patent infringement proceeding, a court may decide that a patent of ours is invalid in whole or in part, unenforceable, or construe the patent’s claims narrowly allowing the other party to commercialize competing products on the grounds that our patents do not cover such products.</w:t>
      </w:r>
    </w:p>
    <w:p>
      <w:pPr>
        <w:spacing w:after="0" w:line="184" w:lineRule="exact"/>
        <w:rPr>
          <w:sz w:val="20"/>
          <w:szCs w:val="20"/>
          <w:color w:val="auto"/>
        </w:rPr>
      </w:pPr>
    </w:p>
    <w:p>
      <w:pPr>
        <w:ind w:right="60" w:firstLine="646"/>
        <w:spacing w:after="0" w:line="256"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The effects of patent litigation or other proceedings could therefore have a material adverse effect on our ability to compete in the marketplace.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drug candidates, compositions or uses could be found invalid or unenforceable if challenged in a patent office or court.</w:t>
      </w:r>
    </w:p>
    <w:p>
      <w:pPr>
        <w:spacing w:after="0" w:line="228" w:lineRule="exact"/>
        <w:rPr>
          <w:sz w:val="20"/>
          <w:szCs w:val="20"/>
          <w:color w:val="auto"/>
        </w:rPr>
      </w:pPr>
    </w:p>
    <w:p>
      <w:pPr>
        <w:ind w:firstLine="646"/>
        <w:spacing w:after="0" w:line="252" w:lineRule="auto"/>
        <w:rPr>
          <w:sz w:val="20"/>
          <w:szCs w:val="20"/>
          <w:color w:val="auto"/>
        </w:rPr>
      </w:pPr>
      <w:r>
        <w:rPr>
          <w:rFonts w:ascii="Times New Roman" w:cs="Times New Roman" w:eastAsia="Times New Roman" w:hAnsi="Times New Roman"/>
          <w:sz w:val="18"/>
          <w:szCs w:val="18"/>
          <w:color w:val="auto"/>
        </w:rPr>
        <w:t>Even if our patents or our past, current or future collaboration partners’ or licensors’ patents do successfully issue and even if such patents cover our technologies, drug candidates, compositions or methods of use, third parties may initiate interference, re-examination, post-grant review, inter partes review (“IPR”) or derivation actions in the USPTO; may initiate third party oppositions in the EPO; or may initiate similar actions challenging the validity, enforceability, scope or term of such patents in other patent administrative or court proceedings worldwide, which may result in patent claims being narrowed or invalidated. Such proceedings could result in revocation or amendment of our patents in such a way that they no longer cover competitive technologies, drug candidates, compositions or methods of use. Further, if we initiate legal proceedings against a third party to enforce a patent covering our technologies, drug candidates, compositions or uses, the defendant could counterclaim that our relevant patent is invalid or unenforceable. In patent litigation in the United States, certain European and other countries worldwide, it is commonplace for defendants to make counterclaims alleging invalidity and unenforceability in the same proceeding, or to commence parallel defensive proceedings such as patent nullity actions to challenge validity and enforceability of asserted patent claims. Further, in the United States, a third party, including a licensee of one of our past, current, or future collaboration partners’ patents, may initiate legal proceedings against us in which the third party challenges the validity, enforceability, or scope of our patent(s).</w:t>
      </w:r>
    </w:p>
    <w:p>
      <w:pPr>
        <w:spacing w:after="0" w:line="195" w:lineRule="exact"/>
        <w:rPr>
          <w:sz w:val="20"/>
          <w:szCs w:val="20"/>
          <w:color w:val="auto"/>
        </w:rPr>
      </w:pPr>
    </w:p>
    <w:p>
      <w:pPr>
        <w:ind w:right="20" w:firstLine="646"/>
        <w:spacing w:after="0" w:line="253" w:lineRule="auto"/>
        <w:rPr>
          <w:sz w:val="20"/>
          <w:szCs w:val="20"/>
          <w:color w:val="auto"/>
        </w:rPr>
      </w:pPr>
      <w:r>
        <w:rPr>
          <w:rFonts w:ascii="Times New Roman" w:cs="Times New Roman" w:eastAsia="Times New Roman" w:hAnsi="Times New Roman"/>
          <w:sz w:val="18"/>
          <w:szCs w:val="18"/>
          <w:color w:val="auto"/>
        </w:rPr>
        <w:t>In administrative and court actions, grounds for a patent validity challenge may include alleged failures to meet any of several statutory requirements, including novelty, nonobviousness (or inventive step), clarity, adequate written description and enablement of the claimed invention. Grounds for unenforceability assertions include allegations that someone associated with the filing or prosecution of the patent withheld material information from the Examiner during prosecution in the USPTO or made a misleading statement during prosecution in the USPTO, the EPO or elsewhere. Third parties also may raise similar claims before administrative bodies in the USPTO or the EPO, even outside the context of litigation. The outcome following legal assertions of invalidity or unenforceability are unpredictable. With respect to patent claim validity, for example, we cannot be certain that there is no invalidating prior art, of which we or the patent examiner was unaware during prosecution. Further, we cannot be certain that all of the potentially relevant art relating to our patents and patent applications has been brought to the attention of every patent office. If a defendant or other patent challenger were to prevail on a legal assertion of invalidity or unenforceability, we could lose at least part, and perhaps all, of the patent protection on our drug candidates, compositions and associated uses.</w:t>
      </w:r>
    </w:p>
    <w:p>
      <w:pPr>
        <w:spacing w:after="0" w:line="188" w:lineRule="exact"/>
        <w:rPr>
          <w:sz w:val="20"/>
          <w:szCs w:val="20"/>
          <w:color w:val="auto"/>
        </w:rPr>
      </w:pPr>
    </w:p>
    <w:p>
      <w:pPr>
        <w:ind w:right="20" w:firstLine="646"/>
        <w:spacing w:after="0" w:line="254" w:lineRule="auto"/>
        <w:rPr>
          <w:sz w:val="20"/>
          <w:szCs w:val="20"/>
          <w:color w:val="auto"/>
        </w:rPr>
      </w:pPr>
      <w:r>
        <w:rPr>
          <w:rFonts w:ascii="Times New Roman" w:cs="Times New Roman" w:eastAsia="Times New Roman" w:hAnsi="Times New Roman"/>
          <w:sz w:val="18"/>
          <w:szCs w:val="18"/>
          <w:color w:val="auto"/>
        </w:rPr>
        <w:t>In addition, the complexity and uncertainty of European patent laws have increased in recent years. In Europe, a new unitary patent system was launched on June 1, 2023, which significantly impacted European patents, including those granted before the introduction of such a system. Under the unitary patent system, European applications now have the option, upon grant of a patent, of becoming a Unitary Patent which are subject to the jurisdiction of the Unitary Patent Court (“UPC”). As the UPC is a new court system, there is no precedent for the court, increasing the uncertainty of any litigation. Patents granted before the implementation of the UPC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patent protection and patent prosecution for some of our drug candidates may in the future be dependent on third parties.</w:t>
      </w:r>
    </w:p>
    <w:p>
      <w:pPr>
        <w:spacing w:after="0" w:line="228" w:lineRule="exact"/>
        <w:rPr>
          <w:sz w:val="20"/>
          <w:szCs w:val="20"/>
          <w:color w:val="auto"/>
        </w:rPr>
      </w:pPr>
    </w:p>
    <w:p>
      <w:pPr>
        <w:ind w:right="40" w:firstLine="646"/>
        <w:spacing w:after="0" w:line="254" w:lineRule="auto"/>
        <w:rPr>
          <w:sz w:val="20"/>
          <w:szCs w:val="20"/>
          <w:color w:val="auto"/>
        </w:rPr>
      </w:pPr>
      <w:r>
        <w:rPr>
          <w:rFonts w:ascii="Times New Roman" w:cs="Times New Roman" w:eastAsia="Times New Roman" w:hAnsi="Times New Roman"/>
          <w:sz w:val="18"/>
          <w:szCs w:val="18"/>
          <w:color w:val="auto"/>
        </w:rPr>
        <w:t>While we normally seek to gain the right to fully prosecute the patent applications relating to our drug candidates, there may be times when certain patents or patent applications relating to our drug candidates, their compositions, uses or their manufacture may be controlled by our current or future collaboration partners or licensors. If any of our current or future collaboration partners fail to appropriately or broadly prosecute patent applications or maintain patent protection of claims covering any of our drug candidates, their compositions, uses or their manufacture, our ability to develop and commercialize those drug candidates may be adversely affected and we may not be able to prevent competitors from making, using, importing, offering to sell or selling competing products. In addition, even where we now have the right to control patent prosecution of patent applications or the maintenance of patents, we have licensed from third parties, presently or in the future, we may still be adversely affected or prejudiced by actions or inactions of our licensors in effect from actions prior to us assuming control over patent prosecution.</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73" w:name="page74"/>
    <w:bookmarkEnd w:id="73"/>
    <w:p>
      <w:pPr>
        <w:ind w:right="38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Confidentiality and invention assignment agreements with our employees, advisors and consultants may not adequately prevent disclosure of trade secrets and protect other proprietary information.</w:t>
      </w:r>
    </w:p>
    <w:p>
      <w:pPr>
        <w:spacing w:after="0" w:line="159" w:lineRule="exact"/>
        <w:rPr>
          <w:sz w:val="20"/>
          <w:szCs w:val="20"/>
          <w:color w:val="auto"/>
        </w:rPr>
      </w:pPr>
    </w:p>
    <w:p>
      <w:pPr>
        <w:ind w:right="80" w:firstLine="646"/>
        <w:spacing w:after="0" w:line="265" w:lineRule="auto"/>
        <w:rPr>
          <w:sz w:val="20"/>
          <w:szCs w:val="20"/>
          <w:color w:val="auto"/>
        </w:rPr>
      </w:pPr>
      <w:r>
        <w:rPr>
          <w:rFonts w:ascii="Times New Roman" w:cs="Times New Roman" w:eastAsia="Times New Roman" w:hAnsi="Times New Roman"/>
          <w:sz w:val="18"/>
          <w:szCs w:val="18"/>
          <w:color w:val="auto"/>
        </w:rPr>
        <w:t>We consider proprietary trade secrets and/or confidential know-how and unpatented know-how to be important to our business. We may rely on trade secrets and/or confidential know-how to protect our technology, especially where patent protection is believed by us to be of limited value. However, trade secrets and/or confidential know-how can be difficult to maintain as confidential.</w:t>
      </w:r>
    </w:p>
    <w:p>
      <w:pPr>
        <w:spacing w:after="0" w:line="176" w:lineRule="exact"/>
        <w:rPr>
          <w:sz w:val="20"/>
          <w:szCs w:val="20"/>
          <w:color w:val="auto"/>
        </w:rPr>
      </w:pPr>
    </w:p>
    <w:p>
      <w:pPr>
        <w:ind w:firstLine="646"/>
        <w:spacing w:after="0" w:line="256" w:lineRule="auto"/>
        <w:rPr>
          <w:sz w:val="20"/>
          <w:szCs w:val="20"/>
          <w:color w:val="auto"/>
        </w:rPr>
      </w:pPr>
      <w:r>
        <w:rPr>
          <w:rFonts w:ascii="Times New Roman" w:cs="Times New Roman" w:eastAsia="Times New Roman" w:hAnsi="Times New Roman"/>
          <w:sz w:val="18"/>
          <w:szCs w:val="18"/>
          <w:color w:val="auto"/>
        </w:rPr>
        <w:t>To protect this type of information against disclosure or appropriation by competitors, our policy is to require our employees, advisors and consultants to enter into confidentiality and invention assignment agreements with us. However, current or former employees, advisors and consultants may unintentionally or willfully disclose our confidential information to competitors, and confidentiality and invention assignment agreements may not provide an adequate remedy in the event of unauthorized disclosure of confidential information. Enforcing a claim that a third party obtained illegally and is using trade secrets and/or confidential know-how is expensive, time consuming and unpredictable. The enforceability of confidentiality and invention assignment agreements may vary from jurisdiction to jurisdiction.</w:t>
      </w:r>
    </w:p>
    <w:p>
      <w:pPr>
        <w:spacing w:after="0" w:line="184" w:lineRule="exact"/>
        <w:rPr>
          <w:sz w:val="20"/>
          <w:szCs w:val="20"/>
          <w:color w:val="auto"/>
        </w:rPr>
      </w:pPr>
    </w:p>
    <w:p>
      <w:pPr>
        <w:ind w:right="20" w:firstLine="646"/>
        <w:spacing w:after="0" w:line="260" w:lineRule="auto"/>
        <w:rPr>
          <w:sz w:val="20"/>
          <w:szCs w:val="20"/>
          <w:color w:val="auto"/>
        </w:rPr>
      </w:pPr>
      <w:r>
        <w:rPr>
          <w:rFonts w:ascii="Times New Roman" w:cs="Times New Roman" w:eastAsia="Times New Roman" w:hAnsi="Times New Roman"/>
          <w:sz w:val="18"/>
          <w:szCs w:val="18"/>
          <w:color w:val="auto"/>
        </w:rPr>
        <w:t>Failure to obtain or maintain trade secrets and/or confidential know-how trade protection could adversely affect our competitive position. Moreover, our competitors may independently develop substantially equivalent proprietary information and may even apply for patent protection in respect of the same. If successful in obtaining such patent protection, our competitors could limit our use of our trade secrets and/or confidential know-how, our competitive position or commercial advantage may be impaired and our business and results of operations may be adversely affected.</w:t>
      </w:r>
    </w:p>
    <w:p>
      <w:pPr>
        <w:spacing w:after="0" w:line="177" w:lineRule="exact"/>
        <w:rPr>
          <w:sz w:val="20"/>
          <w:szCs w:val="20"/>
          <w:color w:val="auto"/>
        </w:rPr>
      </w:pPr>
    </w:p>
    <w:p>
      <w:pPr>
        <w:ind w:right="1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wrongfully used or disclosed alleged confidential information of third parties or that our employees wrongfully used or disclosed alleged trade secrets of their former employers.</w:t>
      </w:r>
    </w:p>
    <w:p>
      <w:pPr>
        <w:spacing w:after="0" w:line="159" w:lineRule="exact"/>
        <w:rPr>
          <w:sz w:val="20"/>
          <w:szCs w:val="20"/>
          <w:color w:val="auto"/>
        </w:rPr>
      </w:pPr>
    </w:p>
    <w:p>
      <w:pPr>
        <w:ind w:firstLine="646"/>
        <w:spacing w:after="0" w:line="260" w:lineRule="auto"/>
        <w:rPr>
          <w:sz w:val="20"/>
          <w:szCs w:val="20"/>
          <w:color w:val="auto"/>
        </w:rPr>
      </w:pPr>
      <w:r>
        <w:rPr>
          <w:rFonts w:ascii="Times New Roman" w:cs="Times New Roman" w:eastAsia="Times New Roman" w:hAnsi="Times New Roman"/>
          <w:sz w:val="18"/>
          <w:szCs w:val="18"/>
          <w:color w:val="auto"/>
        </w:rPr>
        <w:t>We employ individuals who were previously employed at universities or other biotechnology or pharmaceutical companies, including potential competitors. If we fail in defending any such claims, in addition to paying monetary damages, we may lose valuable intellectual property rights or personnel, which could adversely impact our business. Even if we are successful at defending against such claims, litigation could result in substantial costs and be a distraction to management and other employees.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address all potential threats to our competitive advantage.</w:t>
      </w:r>
    </w:p>
    <w:p>
      <w:pPr>
        <w:spacing w:after="0" w:line="228" w:lineRule="exact"/>
        <w:rPr>
          <w:sz w:val="20"/>
          <w:szCs w:val="20"/>
          <w:color w:val="auto"/>
        </w:rPr>
      </w:pPr>
    </w:p>
    <w:p>
      <w:pPr>
        <w:ind w:right="220" w:firstLine="646"/>
        <w:spacing w:after="0" w:line="281"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162" w:lineRule="exact"/>
        <w:rPr>
          <w:sz w:val="20"/>
          <w:szCs w:val="20"/>
          <w:color w:val="auto"/>
        </w:rPr>
      </w:pPr>
    </w:p>
    <w:p>
      <w:pPr>
        <w:ind w:left="980" w:hanging="326"/>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ours but that are not covered by our intellectual property rights.</w:t>
      </w:r>
    </w:p>
    <w:p>
      <w:pPr>
        <w:spacing w:after="0" w:line="250" w:lineRule="exact"/>
        <w:rPr>
          <w:rFonts w:ascii="Times New Roman" w:cs="Times New Roman" w:eastAsia="Times New Roman" w:hAnsi="Times New Roman"/>
          <w:sz w:val="18"/>
          <w:szCs w:val="18"/>
          <w:color w:val="auto"/>
        </w:rPr>
      </w:pPr>
    </w:p>
    <w:p>
      <w:pPr>
        <w:ind w:left="980" w:right="60" w:hanging="326"/>
        <w:spacing w:after="0" w:line="281"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otherwise circumvent any of our technologies without infringing our intellectual property rights.</w:t>
      </w:r>
    </w:p>
    <w:p>
      <w:pPr>
        <w:spacing w:after="0" w:line="161" w:lineRule="exact"/>
        <w:rPr>
          <w:rFonts w:ascii="Times New Roman" w:cs="Times New Roman" w:eastAsia="Times New Roman" w:hAnsi="Times New Roman"/>
          <w:sz w:val="18"/>
          <w:szCs w:val="18"/>
          <w:color w:val="auto"/>
        </w:rPr>
      </w:pPr>
    </w:p>
    <w:p>
      <w:pPr>
        <w:ind w:left="980" w:right="80" w:hanging="326"/>
        <w:spacing w:after="0" w:line="281"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collaboration partners might not have been the first to conceive and reduce to practice the inventions covered by the patents or patent applications that we own, license or will own or license.</w:t>
      </w:r>
    </w:p>
    <w:p>
      <w:pPr>
        <w:spacing w:after="0" w:line="161" w:lineRule="exact"/>
        <w:rPr>
          <w:rFonts w:ascii="Times New Roman" w:cs="Times New Roman" w:eastAsia="Times New Roman" w:hAnsi="Times New Roman"/>
          <w:sz w:val="18"/>
          <w:szCs w:val="18"/>
          <w:color w:val="auto"/>
        </w:rPr>
      </w:pPr>
    </w:p>
    <w:p>
      <w:pPr>
        <w:ind w:left="980" w:right="540" w:hanging="326"/>
        <w:spacing w:after="0" w:line="281"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collaboration partners might not have been the first to file patent applications covering certain of the patents or patent applications that we or they own or have obtained a license or will own or will have obtained a license.</w:t>
      </w:r>
    </w:p>
    <w:p>
      <w:pPr>
        <w:spacing w:after="0" w:line="161"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any pending patent applications that we have filed, or will file, will not lead to issued patents.</w:t>
      </w:r>
    </w:p>
    <w:p>
      <w:pPr>
        <w:spacing w:after="0" w:line="250" w:lineRule="exact"/>
        <w:rPr>
          <w:rFonts w:ascii="Times New Roman" w:cs="Times New Roman" w:eastAsia="Times New Roman" w:hAnsi="Times New Roman"/>
          <w:sz w:val="18"/>
          <w:szCs w:val="18"/>
          <w:color w:val="auto"/>
        </w:rPr>
      </w:pPr>
    </w:p>
    <w:p>
      <w:pPr>
        <w:ind w:left="980" w:right="180" w:hanging="326"/>
        <w:spacing w:after="0" w:line="281"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may not provide us with any competitive advantage, or may be held invalid or unenforceable, as a result of legal challenges by our competitors.</w:t>
      </w:r>
    </w:p>
    <w:p>
      <w:pPr>
        <w:spacing w:after="0" w:line="161" w:lineRule="exact"/>
        <w:rPr>
          <w:rFonts w:ascii="Times New Roman" w:cs="Times New Roman" w:eastAsia="Times New Roman" w:hAnsi="Times New Roman"/>
          <w:sz w:val="18"/>
          <w:szCs w:val="18"/>
          <w:color w:val="auto"/>
        </w:rPr>
      </w:pPr>
    </w:p>
    <w:p>
      <w:pPr>
        <w:ind w:left="980" w:right="140" w:hanging="326"/>
        <w:spacing w:after="0" w:line="311" w:lineRule="auto"/>
        <w:tabs>
          <w:tab w:leader="none" w:pos="9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competitors might conduct R&amp;D activities in countries where we do not have patent rights, or in countries where R&amp;D safe harbor laws exist, and then use the information learned from such activities to develop competitive products for sale in our major commercial markets.</w:t>
      </w:r>
    </w:p>
    <w:p>
      <w:pPr>
        <w:spacing w:after="0" w:line="139" w:lineRule="exact"/>
        <w:rPr>
          <w:rFonts w:ascii="Times New Roman" w:cs="Times New Roman" w:eastAsia="Times New Roman" w:hAnsi="Times New Roman"/>
          <w:sz w:val="17"/>
          <w:szCs w:val="17"/>
          <w:color w:val="auto"/>
        </w:rPr>
      </w:pPr>
    </w:p>
    <w:p>
      <w:pPr>
        <w:ind w:left="980" w:hanging="326"/>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our patents or patent applications may be challenged by third parties.</w:t>
      </w:r>
    </w:p>
    <w:p>
      <w:pPr>
        <w:spacing w:after="0" w:line="250"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third parties or pending or future applications of third parties, if issued, may have an adverse effect on our business.</w:t>
      </w: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00"/>
          </w:cols>
          <w:pgMar w:left="320" w:top="871" w:right="379" w:bottom="1440" w:gutter="0" w:footer="0" w:header="0"/>
        </w:sectPr>
      </w:pPr>
    </w:p>
    <w:bookmarkStart w:id="74" w:name="page75"/>
    <w:bookmarkEnd w:id="74"/>
    <w:p>
      <w:pPr>
        <w:ind w:right="10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our drug candidates and any future drug candidates.</w:t>
      </w:r>
    </w:p>
    <w:p>
      <w:pPr>
        <w:spacing w:after="0" w:line="159" w:lineRule="exact"/>
        <w:rPr>
          <w:sz w:val="20"/>
          <w:szCs w:val="20"/>
          <w:color w:val="auto"/>
        </w:rPr>
      </w:pPr>
    </w:p>
    <w:p>
      <w:pPr>
        <w:ind w:right="100" w:firstLine="646"/>
        <w:spacing w:after="0" w:line="254" w:lineRule="auto"/>
        <w:rPr>
          <w:sz w:val="20"/>
          <w:szCs w:val="20"/>
          <w:color w:val="auto"/>
        </w:rPr>
      </w:pPr>
      <w:r>
        <w:rPr>
          <w:rFonts w:ascii="Times New Roman" w:cs="Times New Roman" w:eastAsia="Times New Roman" w:hAnsi="Times New Roman"/>
          <w:sz w:val="18"/>
          <w:szCs w:val="18"/>
          <w:color w:val="auto"/>
        </w:rPr>
        <w:t>As is the case with other biotechnology and pharmaceutical companies, our success is heavily dependent on intellectual property rights, particularly patents. Obtaining and enforcing patents in the biopharmaceutical industry involves technological and legal complexity, and obtaining and enforcing biopharmaceutical patents is costly, time-consuming and inherently uncertain. The U.S. Supreme Court in recent years has issued rulings either narrowing the scope of patent protection available in certain circumstances or weakening the rights of patent owners in certain situations or ruling that certain subject matter is not eligible for patent protection. In addition to increasing uncertainty with regard to our ability to obtain patents in the future, this combination of events has created uncertainty with respect to the value of patents, once obtained. Depending on decisions by Congress, the federal courts, the USPTO and equivalent bodies in non-U.S. jurisdictions, the laws and regulations governing patents could change in unpredictable ways that would weaken our ability to obtain new patents or to enforce existing patents and patents we may obtain in the future.</w:t>
      </w:r>
    </w:p>
    <w:p>
      <w:pPr>
        <w:spacing w:after="0" w:line="187" w:lineRule="exact"/>
        <w:rPr>
          <w:sz w:val="20"/>
          <w:szCs w:val="20"/>
          <w:color w:val="auto"/>
        </w:rPr>
      </w:pPr>
    </w:p>
    <w:p>
      <w:pPr>
        <w:ind w:right="40" w:firstLine="646"/>
        <w:spacing w:after="0" w:line="253" w:lineRule="auto"/>
        <w:rPr>
          <w:sz w:val="20"/>
          <w:szCs w:val="20"/>
          <w:color w:val="auto"/>
        </w:rPr>
      </w:pPr>
      <w:r>
        <w:rPr>
          <w:rFonts w:ascii="Times New Roman" w:cs="Times New Roman" w:eastAsia="Times New Roman" w:hAnsi="Times New Roman"/>
          <w:sz w:val="18"/>
          <w:szCs w:val="18"/>
          <w:color w:val="auto"/>
        </w:rPr>
        <w:t xml:space="preserve">Patent reform laws, such as the Leahy-Smith America Invents Act (“Leahy-Smith Act”), as well as changes in how patent laws are interpreted, could increase the uncertainties and costs surrounding the prosecution of our patent applications and the enforcement or defense of our issued patents. The Leahy-Smith Act made a number of significant changes to U.S. patent law. These include provisions that affect the filing and prosecution strategies associated with patent applications, including a change from a “first-to-invent” to a “first-inventor-to-file” patent system, and a change allowing third-party submission of prior art to the USPTO during patent prosecution and additional procedures to attack the validity of a patent by USPTO-administered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The USPTO has developed regulations and procedures to govern administration of the Leahy-Smith Act, and many of the substantive changes to patent law associated with the Leahy-Smith Act and, in particular, the “first-inventor-to-file” provisions. The Leahy-Smith Act and its implementation may increase the uncertainties and costs surrounding the prosecution of our patent applications and the enforcement or defense of our issued patents, all of which could harm our business, financial condition and results of operations.</w:t>
      </w:r>
    </w:p>
    <w:p>
      <w:pPr>
        <w:spacing w:after="0" w:line="188" w:lineRule="exact"/>
        <w:rPr>
          <w:sz w:val="20"/>
          <w:szCs w:val="20"/>
          <w:color w:val="auto"/>
        </w:rPr>
      </w:pPr>
    </w:p>
    <w:p>
      <w:pPr>
        <w:ind w:right="80" w:firstLine="646"/>
        <w:spacing w:after="0" w:line="255" w:lineRule="auto"/>
        <w:rPr>
          <w:sz w:val="20"/>
          <w:szCs w:val="20"/>
          <w:color w:val="auto"/>
        </w:rPr>
      </w:pPr>
      <w:r>
        <w:rPr>
          <w:rFonts w:ascii="Times New Roman" w:cs="Times New Roman" w:eastAsia="Times New Roman" w:hAnsi="Times New Roman"/>
          <w:sz w:val="18"/>
          <w:szCs w:val="18"/>
          <w:color w:val="auto"/>
        </w:rPr>
        <w:t>The Leahy-Smith Act also provides a process known as IPR, which has been used by many third parties to challenge and invalidate patents. The IPR process is not limited to patents filed after the Leahy-Smith Act was enacted and would therefore be available to a third party seeking to invalidate any of our U.S. patents, even those issued or filed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e.g., an IPR, to invalidate our patent claims that would not have been invalidated if first challenged by the third party in a district court action.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have sufficient patent term or regulatory exclusivity protections for our drug candidates to effectively protect our competitive position.</w:t>
      </w:r>
    </w:p>
    <w:p>
      <w:pPr>
        <w:spacing w:after="0" w:line="228" w:lineRule="exact"/>
        <w:rPr>
          <w:sz w:val="20"/>
          <w:szCs w:val="20"/>
          <w:color w:val="auto"/>
        </w:rPr>
      </w:pPr>
    </w:p>
    <w:p>
      <w:pPr>
        <w:ind w:firstLine="646"/>
        <w:spacing w:after="0" w:line="260" w:lineRule="auto"/>
        <w:rPr>
          <w:sz w:val="20"/>
          <w:szCs w:val="20"/>
          <w:color w:val="auto"/>
        </w:rPr>
      </w:pPr>
      <w:r>
        <w:rPr>
          <w:rFonts w:ascii="Times New Roman" w:cs="Times New Roman" w:eastAsia="Times New Roman" w:hAnsi="Times New Roman"/>
          <w:sz w:val="18"/>
          <w:szCs w:val="18"/>
          <w:color w:val="auto"/>
        </w:rPr>
        <w:t>Patents have a limited term. In the United States and most jurisdictions worldwide, the statutory expiration of a non-provisional patent is generally 20 years after it is first filed. Although various extensions may be available, the life of a patent, and the protection it affords, is limited. Even if patents covering our technologies, drug candidates and associated uses are obtained, once the patent’s life has expired, including for failure to pay maintenance fees or annuities, we may be open to competition from generic, biosimilar or biobetter medications.</w:t>
      </w:r>
    </w:p>
    <w:p>
      <w:pPr>
        <w:spacing w:after="0" w:line="181" w:lineRule="exact"/>
        <w:rPr>
          <w:sz w:val="20"/>
          <w:szCs w:val="20"/>
          <w:color w:val="auto"/>
        </w:rPr>
      </w:pPr>
    </w:p>
    <w:p>
      <w:pPr>
        <w:ind w:right="80" w:firstLine="646"/>
        <w:spacing w:after="0" w:line="253" w:lineRule="auto"/>
        <w:rPr>
          <w:sz w:val="20"/>
          <w:szCs w:val="20"/>
          <w:color w:val="auto"/>
        </w:rPr>
      </w:pPr>
      <w:r>
        <w:rPr>
          <w:rFonts w:ascii="Times New Roman" w:cs="Times New Roman" w:eastAsia="Times New Roman" w:hAnsi="Times New Roman"/>
          <w:sz w:val="18"/>
          <w:szCs w:val="18"/>
          <w:color w:val="auto"/>
        </w:rPr>
        <w:t>Patent term extensions under the Hatch-Waxman Act in the United States, and regulatory extensions in Japan and certain other countries, and under Supplementary Protection Certificates in Europe, may be available to extend the patent or market or data exclusivity terms of our drug candidates depending on the timing and duration of the regulatory review process relative to patent term. In addition, upon issuance of a United States patent, any patent term may be adjusted based on specified delays during patent prosecution caused by the applicant(s) or the United States Patent and Trademark Office. Although we will likely seek patent term extensions in the U.S. and in one or more international jurisdictions where available, we cannot provide any assurances that any such patent term extensions will be granted and, if so, for how long. As a result, we may not be able to maintain exclusivity for our drug candidates for an extended period after regulatory approval, if any, which would negatively impact our business, financial condition, results of operations and prospects. If we do not have sufficient patent term or regulatory exclusivity to protect our drug candidates, our business and results of operations will be adversely affected.</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75" w:name="page76"/>
    <w:bookmarkEnd w:id="75"/>
    <w:p>
      <w:pPr>
        <w:ind w:right="180"/>
        <w:spacing w:after="0" w:line="267"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and maintain patent protection for any drug candidates, our competitors could develop and commercialize products or technology similar or identical to ours, and our ability to successfully commercialize any drug candidates we may develop, and our technology may be adversely affected.</w:t>
      </w:r>
    </w:p>
    <w:p>
      <w:pPr>
        <w:spacing w:after="0" w:line="175" w:lineRule="exact"/>
        <w:rPr>
          <w:sz w:val="20"/>
          <w:szCs w:val="20"/>
          <w:color w:val="auto"/>
        </w:rPr>
      </w:pPr>
    </w:p>
    <w:p>
      <w:pPr>
        <w:ind w:firstLine="646"/>
        <w:spacing w:after="0" w:line="252"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protection in the United States and other countries with respect to our proprietary drug candidates and other technologies we may develop. We seek to protect our proprietary position by in-licensing intellectual property and filing patent applications in the United States and abroad relating to our drug candidates and other technologies that are important to our business. Given that the development of our technology and drug candidates is at an early stage, our intellectual property portfolio directed to certain aspects of our technology and drug candidates is also at an early stage. We have filed or intend to file patent applications on core aspects of our technology and drug candidates; however, there can be no assurance that any such patent applications will issue as granted patents. Furthermore, in some cases, we only have filed provisional patent applications on certain aspects of our technology and drug candidates, and none of these provisional patent applications is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inventions disclosed in the associated provisional patent applications. Furthermore, in some cases, we may not be able to obtain issued claims covering compositions relating to our drug candidates, as well as other technologies that are important to our business, and instead may need to rely on filing patent applications with claims covering a method of use and/or method of manufacture for protection of such drug candidates and other technologies. There can be no assurance that any such patent applications will issue as granted patents, and even if they do issue, such patent claims may be insufficient to prevent third parties, such as our competitors, from utilizing our technology. Any failure to obtain or maintain patent protection with respect to our and drug candidates could have a material adverse effect on our business, financial condition, results of operations, and prospects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Price controls may be imposed in non-U.S. markets, which may negatively affect our future profitability.</w:t>
      </w:r>
    </w:p>
    <w:p>
      <w:pPr>
        <w:spacing w:after="0" w:line="228" w:lineRule="exact"/>
        <w:rPr>
          <w:sz w:val="20"/>
          <w:szCs w:val="20"/>
          <w:color w:val="auto"/>
        </w:rPr>
      </w:pPr>
    </w:p>
    <w:p>
      <w:pPr>
        <w:ind w:right="40" w:firstLine="646"/>
        <w:spacing w:after="0" w:line="253" w:lineRule="auto"/>
        <w:rPr>
          <w:sz w:val="20"/>
          <w:szCs w:val="20"/>
          <w:color w:val="auto"/>
        </w:rPr>
      </w:pPr>
      <w:r>
        <w:rPr>
          <w:rFonts w:ascii="Times New Roman" w:cs="Times New Roman" w:eastAsia="Times New Roman" w:hAnsi="Times New Roman"/>
          <w:sz w:val="18"/>
          <w:szCs w:val="18"/>
          <w:color w:val="auto"/>
        </w:rPr>
        <w:t>In some countries, particularly EU member states, Japan, Australia and Canada,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 member states and parallel distribution, or arbitrage between low-priced and high-priced member states, can further reduce prices. In some countries, we or our collaborators may be required to conduct a clinical trial or other studies that compare the cost-effectiveness of our drug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our drug candidates is unavailable or limited in scope or amount, or if pricing is set at unsatisfactory levels, our business, revenues or profitability could be harmed.</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Investing in Our Securities</w:t>
      </w:r>
    </w:p>
    <w:p>
      <w:pPr>
        <w:spacing w:after="0" w:line="224" w:lineRule="exact"/>
        <w:rPr>
          <w:sz w:val="20"/>
          <w:szCs w:val="20"/>
          <w:color w:val="auto"/>
        </w:rPr>
      </w:pPr>
    </w:p>
    <w:p>
      <w:pPr>
        <w:ind w:right="1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been and may continue to be highly volatile, which may make it difficult for stockholders to sell our common stock when desired or at attractive prices.</w:t>
      </w:r>
    </w:p>
    <w:p>
      <w:pPr>
        <w:spacing w:after="0" w:line="159" w:lineRule="exact"/>
        <w:rPr>
          <w:sz w:val="20"/>
          <w:szCs w:val="20"/>
          <w:color w:val="auto"/>
        </w:rPr>
      </w:pPr>
    </w:p>
    <w:p>
      <w:pPr>
        <w:ind w:right="120" w:firstLine="646"/>
        <w:spacing w:after="0" w:line="257" w:lineRule="auto"/>
        <w:rPr>
          <w:sz w:val="20"/>
          <w:szCs w:val="20"/>
          <w:color w:val="auto"/>
        </w:rPr>
      </w:pPr>
      <w:r>
        <w:rPr>
          <w:rFonts w:ascii="Times New Roman" w:cs="Times New Roman" w:eastAsia="Times New Roman" w:hAnsi="Times New Roman"/>
          <w:sz w:val="18"/>
          <w:szCs w:val="18"/>
          <w:color w:val="auto"/>
        </w:rPr>
        <w:t>Following our redomiciliation, the trading price of our common stock has been volatile and could be subject to fluctuations in response to various factors, some of which are beyond our control. Factors such as announcements of variations in our quarterly financial results and fluctuations in revenue could also cause the market price of our common stock to fluctuate. In addition, the stock market in general and the market for biopharmaceutical companies in particular, have experienced extreme volatility that has often been unrelated to companies operating performance. The market price for our common stock may be influenced by many factors, including:</w:t>
      </w:r>
    </w:p>
    <w:p>
      <w:pPr>
        <w:spacing w:after="0" w:line="185" w:lineRule="exact"/>
        <w:rPr>
          <w:sz w:val="20"/>
          <w:szCs w:val="20"/>
          <w:color w:val="auto"/>
        </w:rPr>
      </w:pPr>
    </w:p>
    <w:p>
      <w:pPr>
        <w:ind w:left="980" w:right="320" w:hanging="326"/>
        <w:spacing w:after="0" w:line="281"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approvals for IHL-42X, PSX-001, and IHL-675A, or other drug candidates, and delays or failures to obtain such approvals;</w:t>
      </w:r>
    </w:p>
    <w:p>
      <w:pPr>
        <w:spacing w:after="0" w:line="161" w:lineRule="exact"/>
        <w:rPr>
          <w:rFonts w:ascii="Times New Roman" w:cs="Times New Roman" w:eastAsia="Times New Roman" w:hAnsi="Times New Roman"/>
          <w:sz w:val="18"/>
          <w:szCs w:val="18"/>
          <w:color w:val="auto"/>
        </w:rPr>
      </w:pPr>
    </w:p>
    <w:p>
      <w:pPr>
        <w:ind w:left="980" w:right="100" w:hanging="326"/>
        <w:spacing w:after="0" w:line="281"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clinical holds, or delays in the clinical trials of our drug candidates or any future clinical trials we may conduct, or changes in the development status of our drug candidates;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76" w:name="page77"/>
    <w:bookmarkEnd w:id="76"/>
    <w:p>
      <w:pPr>
        <w:ind w:left="980" w:hanging="326"/>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any of our drug candidates, if approved, to achieve commercial success;</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or public perception of the use of cannabinoid or psychedelic substances as a medical treatment;</w:t>
      </w:r>
    </w:p>
    <w:p>
      <w:pPr>
        <w:spacing w:after="0" w:line="224"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our existing third-party collaboration, license and supply agreements;</w:t>
      </w:r>
    </w:p>
    <w:p>
      <w:pPr>
        <w:spacing w:after="0" w:line="224"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or our licensors to prosecute, maintain, or enforce our intellectual property rights;</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drug candidates;</w:t>
      </w:r>
    </w:p>
    <w:p>
      <w:pPr>
        <w:spacing w:after="0" w:line="224"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inability to obtain adequate supply of our drug candidates or the inability to do so at acceptable prices;</w:t>
      </w:r>
    </w:p>
    <w:p>
      <w:pPr>
        <w:spacing w:after="0" w:line="224"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authority decisions;</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 of new products, services or technologies by our competitors;</w:t>
      </w:r>
    </w:p>
    <w:p>
      <w:pPr>
        <w:spacing w:after="0" w:line="224"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and development projections we may provide to the public;</w:t>
      </w:r>
    </w:p>
    <w:p>
      <w:pPr>
        <w:spacing w:after="0" w:line="224"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the financial and development projections of the investment community;</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the pharmaceutical industry by the public, legislatures, regulators and the investment community;</w:t>
      </w:r>
    </w:p>
    <w:p>
      <w:pPr>
        <w:spacing w:after="0" w:line="224"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significant acquisitions, strategic collaborations, joint ventures or capital commitments by us or our competitors;</w:t>
      </w:r>
    </w:p>
    <w:p>
      <w:pPr>
        <w:spacing w:after="0" w:line="224" w:lineRule="exact"/>
        <w:rPr>
          <w:rFonts w:ascii="Times New Roman" w:cs="Times New Roman" w:eastAsia="Times New Roman" w:hAnsi="Times New Roman"/>
          <w:sz w:val="18"/>
          <w:szCs w:val="18"/>
          <w:color w:val="auto"/>
        </w:rPr>
      </w:pPr>
    </w:p>
    <w:p>
      <w:pPr>
        <w:ind w:left="980" w:right="220" w:hanging="326"/>
        <w:spacing w:after="0" w:line="281"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161"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223" w:lineRule="exact"/>
        <w:rPr>
          <w:rFonts w:ascii="Times New Roman" w:cs="Times New Roman" w:eastAsia="Times New Roman" w:hAnsi="Times New Roman"/>
          <w:sz w:val="18"/>
          <w:szCs w:val="18"/>
          <w:color w:val="auto"/>
        </w:rPr>
      </w:pPr>
    </w:p>
    <w:p>
      <w:pPr>
        <w:ind w:left="980" w:right="180" w:hanging="326"/>
        <w:spacing w:after="0" w:line="281"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securities or industry analysts to publish research or reports about our business, or issuance of any adverse or misleading opinions by such analysts regarding our business or stock;</w:t>
      </w:r>
    </w:p>
    <w:p>
      <w:pPr>
        <w:spacing w:after="0" w:line="161"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or macroeconomic conditions, such as inflation;</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exchange rates between the U.S. dollar and the Australian dollar;</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 in the future;</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common stock;</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common stock on the Nasdaq Global Market;</w:t>
      </w:r>
    </w:p>
    <w:p>
      <w:pPr>
        <w:spacing w:after="0" w:line="223" w:lineRule="exact"/>
        <w:rPr>
          <w:rFonts w:ascii="Times New Roman" w:cs="Times New Roman" w:eastAsia="Times New Roman" w:hAnsi="Times New Roman"/>
          <w:sz w:val="18"/>
          <w:szCs w:val="18"/>
          <w:color w:val="auto"/>
        </w:rPr>
      </w:pPr>
    </w:p>
    <w:p>
      <w:pPr>
        <w:ind w:left="980" w:hanging="326"/>
        <w:spacing w:after="0" w:line="281"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commercial partners or competitors of new commercial products, clinical progress or the lack thereof, significant contracts, commercial relationships or capital commitments;</w:t>
      </w:r>
    </w:p>
    <w:p>
      <w:pPr>
        <w:spacing w:after="0" w:line="161"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technological innovations or new therapies that compete with our potential drugs;</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223" w:lineRule="exact"/>
        <w:rPr>
          <w:rFonts w:ascii="Times New Roman" w:cs="Times New Roman" w:eastAsia="Times New Roman" w:hAnsi="Times New Roman"/>
          <w:sz w:val="18"/>
          <w:szCs w:val="18"/>
          <w:color w:val="auto"/>
        </w:rPr>
      </w:pPr>
    </w:p>
    <w:p>
      <w:pPr>
        <w:ind w:left="980" w:right="380" w:hanging="326"/>
        <w:spacing w:after="0" w:line="281" w:lineRule="auto"/>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political instability and military conflicts, such as the conflicts and recent events in Ukraine and the Middle East, which has resulted in instability in the global financial markets and export controls; and</w:t>
      </w:r>
    </w:p>
    <w:p>
      <w:pPr>
        <w:spacing w:after="0" w:line="161"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period-to-period fluctuations in our financial results.</w:t>
      </w:r>
    </w:p>
    <w:p>
      <w:pPr>
        <w:spacing w:after="0" w:line="224" w:lineRule="exact"/>
        <w:rPr>
          <w:sz w:val="20"/>
          <w:szCs w:val="20"/>
          <w:color w:val="auto"/>
        </w:rPr>
      </w:pPr>
    </w:p>
    <w:p>
      <w:pPr>
        <w:ind w:right="60" w:firstLine="646"/>
        <w:spacing w:after="0" w:line="280" w:lineRule="auto"/>
        <w:rPr>
          <w:sz w:val="20"/>
          <w:szCs w:val="20"/>
          <w:color w:val="auto"/>
        </w:rPr>
      </w:pPr>
      <w:r>
        <w:rPr>
          <w:rFonts w:ascii="Times New Roman" w:cs="Times New Roman" w:eastAsia="Times New Roman" w:hAnsi="Times New Roman"/>
          <w:sz w:val="17"/>
          <w:szCs w:val="17"/>
          <w:color w:val="auto"/>
        </w:rPr>
        <w:t>Moreover, the stock markets in general have experienced substantial volatility that has often been unrelated to the operating performance of individual companies. These broad market fluctuations may also adversely affect the trading price of our common stock. If the price of our common stock declines, our ability to raise funds through the issuance of equity or otherwise use our common stock as consideration will be reduced. A low price for our equity may negatively impact our ability to access additional debt capital. These factors may limit our ability to implement our operating and growth plans.</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i w:val="1"/>
          <w:iCs w:val="1"/>
          <w:color w:val="auto"/>
        </w:rPr>
        <w:t>U.S. investors may have difficulty enforcing civil liabilities against our directors or members of senior management.</w:t>
      </w:r>
    </w:p>
    <w:p>
      <w:pPr>
        <w:spacing w:after="0" w:line="228" w:lineRule="exact"/>
        <w:rPr>
          <w:sz w:val="20"/>
          <w:szCs w:val="20"/>
          <w:color w:val="auto"/>
        </w:rPr>
      </w:pPr>
    </w:p>
    <w:p>
      <w:pPr>
        <w:ind w:firstLine="646"/>
        <w:spacing w:after="0" w:line="257" w:lineRule="auto"/>
        <w:rPr>
          <w:sz w:val="20"/>
          <w:szCs w:val="20"/>
          <w:color w:val="auto"/>
        </w:rPr>
      </w:pPr>
      <w:r>
        <w:rPr>
          <w:rFonts w:ascii="Times New Roman" w:cs="Times New Roman" w:eastAsia="Times New Roman" w:hAnsi="Times New Roman"/>
          <w:sz w:val="18"/>
          <w:szCs w:val="18"/>
          <w:color w:val="auto"/>
        </w:rPr>
        <w:t>Several of our officers and directors are non-residents of the United States, and a substantial portion of the assets of such persons are located outside the United States. As a result, it may be difficult to serve process on such persons in the United States or to enforce judgments obtained in U.S. courts against them based on civil liability provisions of the securities laws of the United States. Even if a claimant is successful in bringing such an action, there is doubt as to whether Australian courts would enforce certain civil liabilities under U.S. securities laws in original actions or judgments of U.S. courts based upon these civil liability provisions.</w:t>
      </w:r>
    </w:p>
    <w:p>
      <w:pPr>
        <w:spacing w:after="0" w:line="181" w:lineRule="exact"/>
        <w:rPr>
          <w:sz w:val="20"/>
          <w:szCs w:val="20"/>
          <w:color w:val="auto"/>
        </w:rPr>
      </w:pPr>
    </w:p>
    <w:p>
      <w:pPr>
        <w:ind w:right="12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of our amended and restated certificate of incorporation may discourage, delay or prevent a change in control of our company and, therefore, depress the trading price of our securities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40" w:firstLine="646"/>
        <w:spacing w:after="0" w:line="265"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board of directors is classified into three classes of directors, each with staggered three-year terms. This provision may discourage, delay or prevent a merger, acquisition or other change in control that stockholders may consider favorable, including transactions in which you might otherwise receive a premium for our securities.</w:t>
      </w:r>
    </w:p>
    <w:p>
      <w:pPr>
        <w:spacing w:after="0" w:line="176" w:lineRule="exact"/>
        <w:rPr>
          <w:sz w:val="20"/>
          <w:szCs w:val="20"/>
          <w:color w:val="auto"/>
        </w:rPr>
      </w:pPr>
    </w:p>
    <w:p>
      <w:pPr>
        <w:ind w:right="20" w:firstLine="646"/>
        <w:spacing w:after="0" w:line="260" w:lineRule="auto"/>
        <w:rPr>
          <w:sz w:val="20"/>
          <w:szCs w:val="20"/>
          <w:color w:val="auto"/>
        </w:rPr>
      </w:pPr>
      <w:r>
        <w:rPr>
          <w:rFonts w:ascii="Times New Roman" w:cs="Times New Roman" w:eastAsia="Times New Roman" w:hAnsi="Times New Roman"/>
          <w:sz w:val="18"/>
          <w:szCs w:val="18"/>
          <w:color w:val="auto"/>
        </w:rPr>
        <w:t>In addition, as a Delaware corporation, we would also generally be subject to provisions of Delaware law, including Section 203 of the Delaware General Corporation Law, which limits the ability of stockholders holding shares representing more than 15% of the voting power of our outstanding voting stock from engaging in certain business combinations with us. However, our amended and restated certificate of incorporation provides that we are not subject to Section 203 of Delaware General Corporation Law.</w:t>
      </w:r>
    </w:p>
    <w:p>
      <w:pPr>
        <w:spacing w:after="0" w:line="181" w:lineRule="exact"/>
        <w:rPr>
          <w:sz w:val="20"/>
          <w:szCs w:val="20"/>
          <w:color w:val="auto"/>
        </w:rPr>
      </w:pPr>
    </w:p>
    <w:p>
      <w:pPr>
        <w:jc w:val="both"/>
        <w:ind w:right="200" w:firstLine="646"/>
        <w:spacing w:after="0" w:line="265" w:lineRule="auto"/>
        <w:rPr>
          <w:sz w:val="20"/>
          <w:szCs w:val="20"/>
          <w:color w:val="auto"/>
        </w:rPr>
      </w:pPr>
      <w:r>
        <w:rPr>
          <w:rFonts w:ascii="Times New Roman" w:cs="Times New Roman" w:eastAsia="Times New Roman" w:hAnsi="Times New Roman"/>
          <w:sz w:val="18"/>
          <w:szCs w:val="18"/>
          <w:color w:val="auto"/>
        </w:rPr>
        <w:t>The existence of the foregoing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w:t>
      </w:r>
    </w:p>
    <w:p>
      <w:pPr>
        <w:spacing w:after="0" w:line="1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Our common stock could be further diluted as the result of the issuance of additional shares of common stock, convertible securities, warrants, options, shares of common stock upon the conversion of the September 2024 Debentures, upon the sale of shares of our common stock pursuant to our equity line of credit agreement with Arena Business, or upon the exercise of the ELOC Warrant. Future sales of shares of our common stock in the public market, or the perception that such sales could occur, could cause our stock price to fall.</w:t>
      </w:r>
    </w:p>
    <w:p>
      <w:pPr>
        <w:spacing w:after="0" w:line="181" w:lineRule="exact"/>
        <w:rPr>
          <w:sz w:val="20"/>
          <w:szCs w:val="20"/>
          <w:color w:val="auto"/>
        </w:rPr>
      </w:pPr>
    </w:p>
    <w:p>
      <w:pPr>
        <w:jc w:val="both"/>
        <w:ind w:right="240" w:firstLine="646"/>
        <w:spacing w:after="0" w:line="257" w:lineRule="auto"/>
        <w:rPr>
          <w:sz w:val="20"/>
          <w:szCs w:val="20"/>
          <w:color w:val="auto"/>
        </w:rPr>
      </w:pPr>
      <w:r>
        <w:rPr>
          <w:rFonts w:ascii="Times New Roman" w:cs="Times New Roman" w:eastAsia="Times New Roman" w:hAnsi="Times New Roman"/>
          <w:sz w:val="18"/>
          <w:szCs w:val="18"/>
          <w:color w:val="auto"/>
        </w:rPr>
        <w:t>In the past, we have issued common stock and convertible securities (such as the September 2024 Debentures) in order to raise capital. We have also issued common stock as compensation for services and incentive compensation for our employees, directors and certain vendors. We have shares of common stock reserved for issuance upon the exercise of certain of these securities and may increase the shares reserved for these purposes in the future. Our issuance of additional common stock, convertible securities, options or warrants could affect the rights of our stockholders, could reduce the market price of our common stock or could obligate us to issue additional shares of common stock to certain of our stockholders.</w:t>
      </w:r>
    </w:p>
    <w:p>
      <w:pPr>
        <w:spacing w:after="0" w:line="185" w:lineRule="exact"/>
        <w:rPr>
          <w:sz w:val="20"/>
          <w:szCs w:val="20"/>
          <w:color w:val="auto"/>
        </w:rPr>
      </w:pPr>
    </w:p>
    <w:p>
      <w:pPr>
        <w:ind w:right="120" w:firstLine="646"/>
        <w:spacing w:after="0" w:line="257" w:lineRule="auto"/>
        <w:rPr>
          <w:sz w:val="20"/>
          <w:szCs w:val="20"/>
          <w:color w:val="auto"/>
        </w:rPr>
      </w:pPr>
      <w:r>
        <w:rPr>
          <w:rFonts w:ascii="Times New Roman" w:cs="Times New Roman" w:eastAsia="Times New Roman" w:hAnsi="Times New Roman"/>
          <w:sz w:val="18"/>
          <w:szCs w:val="18"/>
          <w:color w:val="auto"/>
        </w:rPr>
        <w:t>The issuance of common stock upon conversion of some or all of the September 2024 Debentures will dilute the ownership interests of existing holders of shares of our common stock. We cannot predict or accurately forecast the total number of shares of common stock that ultimately may be issued under the September 2024 Debentures. The conversion price per share of the September 2024 Debentures is the product of 1.15 multiplied by the closing price of our common stock on the trading day preceding the date of the issuance of each of the September 2024 Debentures. This conversion price and the shares issuable upon conversion of shares of the September 2024 Debentures may depress the market price of our common stock.</w:t>
      </w:r>
    </w:p>
    <w:p>
      <w:pPr>
        <w:spacing w:after="0" w:line="185" w:lineRule="exact"/>
        <w:rPr>
          <w:sz w:val="20"/>
          <w:szCs w:val="20"/>
          <w:color w:val="auto"/>
        </w:rPr>
      </w:pPr>
    </w:p>
    <w:p>
      <w:pPr>
        <w:ind w:right="20" w:firstLine="646"/>
        <w:spacing w:after="0" w:line="256" w:lineRule="auto"/>
        <w:rPr>
          <w:sz w:val="20"/>
          <w:szCs w:val="20"/>
          <w:color w:val="auto"/>
        </w:rPr>
      </w:pPr>
      <w:r>
        <w:rPr>
          <w:rFonts w:ascii="Times New Roman" w:cs="Times New Roman" w:eastAsia="Times New Roman" w:hAnsi="Times New Roman"/>
          <w:sz w:val="18"/>
          <w:szCs w:val="18"/>
          <w:color w:val="auto"/>
        </w:rPr>
        <w:t>On September 6, 2024, we entered into the ELOC Agreement with Arena Business pursuant to which we have the right to sell, and Arena Business has the obligation to buy up to $50 million of our shares of common stock. We also issued the ELOC Warrant to Arena Business, which is exercisable for 585,000 shares of our common stock, with a five-year expiration and an exercise price equal to 115% of the closing price of the common stock on the warrant issuance date. The sale of shares of our common stock pursuant to the ELOC Agreement and any shares of our common stock issued pursuant to the ELOC Warrant will have a dilutive impact on our existing stockholders. Arena Business may resell some or all of the shares we issue to it under the ELOC Agreement, and such sales could cause the market price of our common stock to decline, which decline could be significant.</w:t>
      </w:r>
    </w:p>
    <w:p>
      <w:pPr>
        <w:spacing w:after="0" w:line="184" w:lineRule="exact"/>
        <w:rPr>
          <w:sz w:val="20"/>
          <w:szCs w:val="20"/>
          <w:color w:val="auto"/>
        </w:rPr>
      </w:pPr>
    </w:p>
    <w:p>
      <w:pPr>
        <w:ind w:right="180" w:firstLine="646"/>
        <w:spacing w:after="0" w:line="260" w:lineRule="auto"/>
        <w:rPr>
          <w:sz w:val="20"/>
          <w:szCs w:val="20"/>
          <w:color w:val="auto"/>
        </w:rPr>
      </w:pPr>
      <w:r>
        <w:rPr>
          <w:rFonts w:ascii="Times New Roman" w:cs="Times New Roman" w:eastAsia="Times New Roman" w:hAnsi="Times New Roman"/>
          <w:sz w:val="18"/>
          <w:szCs w:val="18"/>
          <w:color w:val="auto"/>
        </w:rPr>
        <w:t>Further, sales of a substantial number of shares of our common stock in the public market, or the perception that these sales could occur could cause the market price of our common stock to decline. A substantial majority of the outstanding shares of our common stock are freely tradable without restriction or further registration under the Securities Act. We cannot predict the effect that future sales of common stock or other equity-related securities would have on the market price of our common stock.</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78" w:name="page79"/>
    <w:bookmarkEnd w:id="78"/>
    <w:p>
      <w:pPr>
        <w:ind w:right="28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on our capital stock in the foreseeable future; capital appreciation, if any, will be your sole source of gain as a holder of our common stock.</w:t>
      </w:r>
    </w:p>
    <w:p>
      <w:pPr>
        <w:spacing w:after="0" w:line="159" w:lineRule="exact"/>
        <w:rPr>
          <w:sz w:val="20"/>
          <w:szCs w:val="20"/>
          <w:color w:val="auto"/>
        </w:rPr>
      </w:pPr>
    </w:p>
    <w:p>
      <w:pPr>
        <w:ind w:right="160" w:firstLine="646"/>
        <w:spacing w:after="0" w:line="260" w:lineRule="auto"/>
        <w:rPr>
          <w:sz w:val="20"/>
          <w:szCs w:val="20"/>
          <w:color w:val="auto"/>
        </w:rPr>
      </w:pPr>
      <w:r>
        <w:rPr>
          <w:rFonts w:ascii="Times New Roman" w:cs="Times New Roman" w:eastAsia="Times New Roman" w:hAnsi="Times New Roman"/>
          <w:sz w:val="18"/>
          <w:szCs w:val="18"/>
          <w:color w:val="auto"/>
        </w:rPr>
        <w:t>We have never declared or paid cash dividends on shares of our common stock. As noted above, we are also restricted from paying dividends pursuant to our debt arrangements under the September 2024 Purchase Agreement. We currently plan to retain all our future earnings, if any, and any cash received through future financings to finance the growth and development of our business. Accordingly, capital appreciation, if any, of our common stock will be the sole source of gain for our common stockholders for the foreseeable future.</w:t>
      </w:r>
    </w:p>
    <w:p>
      <w:pPr>
        <w:spacing w:after="0" w:line="177" w:lineRule="exact"/>
        <w:rPr>
          <w:sz w:val="20"/>
          <w:szCs w:val="20"/>
          <w:color w:val="auto"/>
        </w:rPr>
      </w:pPr>
    </w:p>
    <w:p>
      <w:pPr>
        <w:jc w:val="both"/>
        <w:ind w:right="420"/>
        <w:spacing w:after="0" w:line="316"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do not publish, or cease publishing, research or reports, or publish unfavorable research or reports, about us, our business or our market, or if they change their recommendations regarding our stock adversely, our stock price and trading volume could decline.</w:t>
      </w:r>
    </w:p>
    <w:p>
      <w:pPr>
        <w:spacing w:after="0" w:line="136" w:lineRule="exact"/>
        <w:rPr>
          <w:sz w:val="20"/>
          <w:szCs w:val="20"/>
          <w:color w:val="auto"/>
        </w:rPr>
      </w:pPr>
    </w:p>
    <w:p>
      <w:pPr>
        <w:ind w:firstLine="646"/>
        <w:spacing w:after="0" w:line="256"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in part, by the research and reports that industry or financial research analysts publish about us and our business. We do not have any control over these analysts. If only a few securities or industry analysts commence coverage of our company, the trading price for our stock would likely be negatively affected and there can be no assurance that analysts will provide favorable coverage. If securities or industry analysts who initiate coverage downgrade our stock or publish inaccurate or unfavorable research about our business or our market, our stock price would likely decline. If one or more of these analysts cease coverage of our company or fail to publish reports on us regularly, demand for our stock could decrease, which might cause our stock price and any trading volume to decline.</w:t>
      </w:r>
    </w:p>
    <w:p>
      <w:pPr>
        <w:spacing w:after="0" w:line="180" w:lineRule="exact"/>
        <w:rPr>
          <w:sz w:val="20"/>
          <w:szCs w:val="20"/>
          <w:color w:val="auto"/>
        </w:rPr>
      </w:pPr>
    </w:p>
    <w:p>
      <w:pPr>
        <w:ind w:right="18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Having availed ourselves of scaled disclosure available to smaller reporting companies, we cannot be certain if such reduced disclosure will make our common stock less attractive to investors.</w:t>
      </w:r>
    </w:p>
    <w:p>
      <w:pPr>
        <w:spacing w:after="0" w:line="159" w:lineRule="exact"/>
        <w:rPr>
          <w:sz w:val="20"/>
          <w:szCs w:val="20"/>
          <w:color w:val="auto"/>
        </w:rPr>
      </w:pPr>
    </w:p>
    <w:p>
      <w:pPr>
        <w:ind w:right="80" w:firstLine="646"/>
        <w:spacing w:after="0" w:line="252" w:lineRule="auto"/>
        <w:rPr>
          <w:sz w:val="20"/>
          <w:szCs w:val="20"/>
          <w:color w:val="auto"/>
        </w:rPr>
      </w:pPr>
      <w:r>
        <w:rPr>
          <w:rFonts w:ascii="Times New Roman" w:cs="Times New Roman" w:eastAsia="Times New Roman" w:hAnsi="Times New Roman"/>
          <w:sz w:val="18"/>
          <w:szCs w:val="18"/>
          <w:color w:val="auto"/>
        </w:rPr>
        <w:t>Under Section 12b-2 of the Exchange Act, a “smaller reporting company” is a company that is not an investment company, an asset backed issuer, or a majority-owned subsidiary of a parent company. Effective September 10, 2018, the definition of a “smaller reporting company” was amended to include companies with a public float of less than $250 million as of the last business day of its most recently completed second fiscal quarter or, if such public float is less than $700 million, had annual revenues of less than $100 million during the most recently completed fiscal year. Smaller reporting companies are permitted to provide simplified executive compensation disclosure in their filings; they are exempt from the provisions of Section 404(b) of the Sarbanes-Oxley Act requiring that independent registered public accounting firms provide an attestation report on the effectiveness of internal controls over financial reporting; and they have certain other decreased disclosure obligations in their SEC filings, including, among other things, only being required to provide two years of audited financial statements in annual reports. As calculated as of December 31, 2023, we qualified as a smaller reporting company. For as long as we continue to be a smaller reporting company, we expect that we will take advantage of the reduced disclosure obligations available to us as a result of those respective classifications. Decreased disclosure in our SEC filings as a result of our having availed ourselves of scaled disclosure may make it harder for investors to analyze our results of operations and financial prospects.</w:t>
      </w:r>
    </w:p>
    <w:p>
      <w:pPr>
        <w:spacing w:after="0" w:line="191" w:lineRule="exact"/>
        <w:rPr>
          <w:sz w:val="20"/>
          <w:szCs w:val="20"/>
          <w:color w:val="auto"/>
        </w:rPr>
      </w:pPr>
    </w:p>
    <w:p>
      <w:pPr>
        <w:ind w:right="4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incur, and will continue to incur, costs and expect significantly increased costs as a result of operating as a public company, and our management is now required to devote substantial time to new compliance initiatives.</w:t>
      </w:r>
    </w:p>
    <w:p>
      <w:pPr>
        <w:spacing w:after="0" w:line="159" w:lineRule="exact"/>
        <w:rPr>
          <w:sz w:val="20"/>
          <w:szCs w:val="20"/>
          <w:color w:val="auto"/>
        </w:rPr>
      </w:pPr>
    </w:p>
    <w:p>
      <w:pPr>
        <w:ind w:right="140" w:firstLine="646"/>
        <w:spacing w:after="0" w:line="253" w:lineRule="auto"/>
        <w:rPr>
          <w:sz w:val="20"/>
          <w:szCs w:val="20"/>
          <w:color w:val="auto"/>
        </w:rPr>
      </w:pPr>
      <w:r>
        <w:rPr>
          <w:rFonts w:ascii="Times New Roman" w:cs="Times New Roman" w:eastAsia="Times New Roman" w:hAnsi="Times New Roman"/>
          <w:sz w:val="18"/>
          <w:szCs w:val="18"/>
          <w:color w:val="auto"/>
        </w:rPr>
        <w:t>As a public company listed on the Nasdaq Global Market, and particularly if we cease to be a “smaller reporting company,” we are incurring and will continue to incur significant legal, accounting and other expenses that we did not incur as a private company or as a public company without such specified statuses. We are subject to the reporting requirements of the Exchange Act, as well as various requirements imposed by the Sarbanes-Oxley Act, rules subsequently adopted by the SEC and Nasdaq to implement provisions of the Sarbanes-Oxley Act, and the Dodd-Frank Wall Street Reform and Consumer Protection Act.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The listing requirements of the Nasdaq Global Market require that we satisfy certain corporate governance requirements relating to director independence, distributing annual and interim reports, stockholder meetings, approvals and voting, soliciting proxies, conflicts of interest and a code of conduct, each of which requires additional attention and effort of management and our board of directors and additional costs.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79" w:name="page80"/>
    <w:bookmarkEnd w:id="79"/>
    <w:p>
      <w:pPr>
        <w:ind w:firstLine="646"/>
        <w:spacing w:after="0" w:line="254" w:lineRule="auto"/>
        <w:rPr>
          <w:sz w:val="20"/>
          <w:szCs w:val="20"/>
          <w:color w:val="auto"/>
        </w:rPr>
      </w:pPr>
      <w:r>
        <w:rPr>
          <w:rFonts w:ascii="Times New Roman" w:cs="Times New Roman" w:eastAsia="Times New Roman" w:hAnsi="Times New Roman"/>
          <w:sz w:val="18"/>
          <w:szCs w:val="18"/>
          <w:color w:val="auto"/>
        </w:rPr>
        <w:t>We expect the rules and regulations applicable to public companies to substantially increase our legal and financial compliance costs and to make some activities more time-consuming and costly. For example, we expect these rules and regulations to make it more difficult and more expensive for us to obtain director and officer liability insurance and we may be required to incur substantial costs to maintain the same or similar coverage. We also expect that we will need to hire additional accounting, finance and other personnel in connection with our efforts to comply with the requirements of being a public company, and our management and other personnel will need to devote a substantial amount of time towards maintaining compliance with these requirements. We cannot predict or estimate the amount or timing of additional costs we may incur to respond to these requirements. The impact of these requirements could also make it more difficult for us to attract and retain qualified persons to serve on our board of directors and committees thereof or as executive officers.</w:t>
      </w:r>
    </w:p>
    <w:p>
      <w:pPr>
        <w:spacing w:after="0" w:line="183" w:lineRule="exact"/>
        <w:rPr>
          <w:sz w:val="20"/>
          <w:szCs w:val="20"/>
          <w:color w:val="auto"/>
        </w:rPr>
      </w:pPr>
    </w:p>
    <w:p>
      <w:pPr>
        <w:ind w:right="14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securities litigation that could materially divert management’s attention and harm the Company’s business, and insurance coverage may not be sufficient to cover all costs and damages.</w:t>
      </w:r>
    </w:p>
    <w:p>
      <w:pPr>
        <w:spacing w:after="0" w:line="159" w:lineRule="exact"/>
        <w:rPr>
          <w:sz w:val="20"/>
          <w:szCs w:val="20"/>
          <w:color w:val="auto"/>
        </w:rPr>
      </w:pPr>
    </w:p>
    <w:p>
      <w:pPr>
        <w:ind w:right="20" w:firstLine="646"/>
        <w:spacing w:after="0" w:line="257" w:lineRule="auto"/>
        <w:rPr>
          <w:sz w:val="20"/>
          <w:szCs w:val="20"/>
          <w:color w:val="auto"/>
        </w:rPr>
      </w:pPr>
      <w:r>
        <w:rPr>
          <w:rFonts w:ascii="Times New Roman" w:cs="Times New Roman" w:eastAsia="Times New Roman" w:hAnsi="Times New Roman"/>
          <w:sz w:val="18"/>
          <w:szCs w:val="18"/>
          <w:color w:val="auto"/>
        </w:rPr>
        <w:t>We may be exposed to securities litigation even if no wrongdoing occurred. Litigation is usually expensive and diverts management’s attention and resources, which could adversely affect our business and cash resources. We may become involved in such litigation, and our stock price may fluctuate for many reasons, including as a result of public announcements regarding the progress of our development efforts or the development efforts of current or future collaboration partners or competitors, the addition or departure of our key personnel, the announcement of a strategic restructuring, variations in our quarterly operating results and changes in market valuations of biopharmaceutical and biotechnology companies.</w:t>
      </w:r>
    </w:p>
    <w:p>
      <w:pPr>
        <w:spacing w:after="0" w:line="185" w:lineRule="exact"/>
        <w:rPr>
          <w:sz w:val="20"/>
          <w:szCs w:val="20"/>
          <w:color w:val="auto"/>
        </w:rPr>
      </w:pPr>
    </w:p>
    <w:p>
      <w:pPr>
        <w:ind w:right="40" w:firstLine="646"/>
        <w:spacing w:after="0" w:line="257" w:lineRule="auto"/>
        <w:rPr>
          <w:sz w:val="20"/>
          <w:szCs w:val="20"/>
          <w:color w:val="auto"/>
        </w:rPr>
      </w:pPr>
      <w:r>
        <w:rPr>
          <w:rFonts w:ascii="Times New Roman" w:cs="Times New Roman" w:eastAsia="Times New Roman" w:hAnsi="Times New Roman"/>
          <w:sz w:val="18"/>
          <w:szCs w:val="18"/>
          <w:color w:val="auto"/>
        </w:rPr>
        <w:t>This risk is especially relevant to us because biopharmaceutical and biotechnology companies have experienced significant stock price volatility in recent years. When the market price of a stock has been volatile, as our stock price may be, holders of that stock have occasionally brought securities class action litigation against the company that issued the stock. If any of our stockholders were to bring a lawsuit of this type against us, even if the lawsuit is without merit, it could result in substantial costs for defending the lawsuit and diversion of the time, attention and resources of our board of directors and management, which could significantly harm our profitability and reputation.</w:t>
      </w:r>
    </w:p>
    <w:p>
      <w:pPr>
        <w:spacing w:after="0" w:line="181" w:lineRule="exact"/>
        <w:rPr>
          <w:sz w:val="20"/>
          <w:szCs w:val="20"/>
          <w:color w:val="auto"/>
        </w:rPr>
      </w:pPr>
    </w:p>
    <w:p>
      <w:pPr>
        <w:ind w:right="360"/>
        <w:spacing w:after="0" w:line="285"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159" w:lineRule="exact"/>
        <w:rPr>
          <w:sz w:val="20"/>
          <w:szCs w:val="20"/>
          <w:color w:val="auto"/>
        </w:rPr>
      </w:pPr>
    </w:p>
    <w:p>
      <w:pPr>
        <w:ind w:right="700" w:firstLine="646"/>
        <w:spacing w:after="0" w:line="281" w:lineRule="auto"/>
        <w:rPr>
          <w:sz w:val="20"/>
          <w:szCs w:val="20"/>
          <w:color w:val="auto"/>
        </w:rPr>
      </w:pPr>
      <w:r>
        <w:rPr>
          <w:rFonts w:ascii="Times New Roman" w:cs="Times New Roman" w:eastAsia="Times New Roman" w:hAnsi="Times New Roman"/>
          <w:sz w:val="18"/>
          <w:szCs w:val="18"/>
          <w:color w:val="auto"/>
        </w:rPr>
        <w:t>Our amended and restated bylaws provide that we will indemnify our directors and officers, in each case to the fullest extent permitted by Delaware law.</w:t>
      </w:r>
    </w:p>
    <w:p>
      <w:pPr>
        <w:spacing w:after="0" w:line="162" w:lineRule="exact"/>
        <w:rPr>
          <w:sz w:val="20"/>
          <w:szCs w:val="20"/>
          <w:color w:val="auto"/>
        </w:rPr>
      </w:pPr>
    </w:p>
    <w:p>
      <w:pPr>
        <w:ind w:right="480" w:firstLine="646"/>
        <w:spacing w:after="0" w:line="281" w:lineRule="auto"/>
        <w:rPr>
          <w:sz w:val="20"/>
          <w:szCs w:val="20"/>
          <w:color w:val="auto"/>
        </w:rPr>
      </w:pPr>
      <w:r>
        <w:rPr>
          <w:rFonts w:ascii="Times New Roman" w:cs="Times New Roman" w:eastAsia="Times New Roman" w:hAnsi="Times New Roman"/>
          <w:sz w:val="18"/>
          <w:szCs w:val="18"/>
          <w:color w:val="auto"/>
        </w:rPr>
        <w:t>In addition, as permitted by Section 145 of the Delaware General Corporation Law (the “DGCL”), our amended and restated bylaws and our indemnification agreements that we have entered into with our directors and executive officers provide that:</w:t>
      </w:r>
    </w:p>
    <w:p>
      <w:pPr>
        <w:spacing w:after="0" w:line="162" w:lineRule="exact"/>
        <w:rPr>
          <w:sz w:val="20"/>
          <w:szCs w:val="20"/>
          <w:color w:val="auto"/>
        </w:rPr>
      </w:pPr>
    </w:p>
    <w:p>
      <w:pPr>
        <w:ind w:left="980" w:right="40" w:hanging="326"/>
        <w:spacing w:after="0" w:line="260"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indemnify our directors and executive officers for serving us in those capacities or for serving other related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180"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 our discretion, indemnify employees and agents in those circumstances where indemnification is permitted by applicable law.</w:t>
      </w:r>
    </w:p>
    <w:p>
      <w:pPr>
        <w:spacing w:after="0" w:line="223" w:lineRule="exact"/>
        <w:rPr>
          <w:rFonts w:ascii="Times New Roman" w:cs="Times New Roman" w:eastAsia="Times New Roman" w:hAnsi="Times New Roman"/>
          <w:sz w:val="18"/>
          <w:szCs w:val="18"/>
          <w:color w:val="auto"/>
        </w:rPr>
      </w:pPr>
    </w:p>
    <w:p>
      <w:pPr>
        <w:jc w:val="both"/>
        <w:ind w:left="980" w:right="280" w:hanging="326"/>
        <w:spacing w:after="0" w:line="311" w:lineRule="auto"/>
        <w:tabs>
          <w:tab w:leader="none" w:pos="98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139" w:lineRule="exact"/>
        <w:rPr>
          <w:rFonts w:ascii="Times New Roman" w:cs="Times New Roman" w:eastAsia="Times New Roman" w:hAnsi="Times New Roman"/>
          <w:sz w:val="17"/>
          <w:szCs w:val="17"/>
          <w:color w:val="auto"/>
        </w:rPr>
      </w:pPr>
    </w:p>
    <w:p>
      <w:pPr>
        <w:ind w:left="980" w:right="280" w:hanging="326"/>
        <w:spacing w:after="0" w:line="281"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conferred in our amended and restated bylaws are not exclusive, and we are authorized to enter into indemnification agreements with our directors, officers, employees and agents and to obtain insurance to indemnify such persons.</w:t>
      </w:r>
    </w:p>
    <w:p>
      <w:pPr>
        <w:spacing w:after="0" w:line="162" w:lineRule="exact"/>
        <w:rPr>
          <w:sz w:val="20"/>
          <w:szCs w:val="20"/>
          <w:color w:val="auto"/>
        </w:rPr>
      </w:pPr>
    </w:p>
    <w:p>
      <w:pPr>
        <w:ind w:right="540" w:firstLine="646"/>
        <w:spacing w:after="0" w:line="281" w:lineRule="auto"/>
        <w:rPr>
          <w:sz w:val="20"/>
          <w:szCs w:val="20"/>
          <w:color w:val="auto"/>
        </w:rPr>
      </w:pPr>
      <w:r>
        <w:rPr>
          <w:rFonts w:ascii="Times New Roman" w:cs="Times New Roman" w:eastAsia="Times New Roman" w:hAnsi="Times New Roman"/>
          <w:sz w:val="18"/>
          <w:szCs w:val="18"/>
          <w:color w:val="auto"/>
        </w:rPr>
        <w:t>We may not retroactively amend our amended and restated bylaw provisions to reduce our indemnification obligations to directors, officers, employees and agents.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228" w:lineRule="exact"/>
        <w:rPr>
          <w:sz w:val="20"/>
          <w:szCs w:val="20"/>
          <w:color w:val="auto"/>
        </w:rPr>
      </w:pPr>
    </w:p>
    <w:p>
      <w:pPr>
        <w:ind w:right="220" w:firstLine="646"/>
        <w:spacing w:after="0" w:line="256" w:lineRule="auto"/>
        <w:rPr>
          <w:sz w:val="20"/>
          <w:szCs w:val="20"/>
          <w:color w:val="auto"/>
        </w:rPr>
      </w:pPr>
      <w:r>
        <w:rPr>
          <w:rFonts w:ascii="Times New Roman" w:cs="Times New Roman" w:eastAsia="Times New Roman" w:hAnsi="Times New Roman"/>
          <w:sz w:val="18"/>
          <w:szCs w:val="18"/>
          <w:color w:val="auto"/>
        </w:rPr>
        <w:t>In the ordinary course of our business, we may collect, store, use, transmit, disclose, or otherwise process proprietary, confidential, and sensitive information, including personal information (such as health-related information), data related to clinical trials, intellectual property, and trade secrets. We depend on both our own systems, networks, and technology, as well as the systems, networks and technology of our collaborative partners, third-party service providers and other business partners, to safeguard our data. We recognize the critical importance of maintaining the trust and confidence of customers, business partners and employees toward our business and are committed to protecting the confidentiality, integrity and availability of our business operations and systems.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Program</w:t>
      </w:r>
    </w:p>
    <w:p>
      <w:pPr>
        <w:spacing w:after="0" w:line="228" w:lineRule="exact"/>
        <w:rPr>
          <w:sz w:val="20"/>
          <w:szCs w:val="20"/>
          <w:color w:val="auto"/>
        </w:rPr>
      </w:pPr>
    </w:p>
    <w:p>
      <w:pPr>
        <w:ind w:firstLine="646"/>
        <w:spacing w:after="0" w:line="253" w:lineRule="auto"/>
        <w:rPr>
          <w:sz w:val="20"/>
          <w:szCs w:val="20"/>
          <w:color w:val="auto"/>
        </w:rPr>
      </w:pPr>
      <w:r>
        <w:rPr>
          <w:rFonts w:ascii="Times New Roman" w:cs="Times New Roman" w:eastAsia="Times New Roman" w:hAnsi="Times New Roman"/>
          <w:sz w:val="18"/>
          <w:szCs w:val="18"/>
          <w:color w:val="auto"/>
        </w:rPr>
        <w:t>We face risks related to cybersecurity such as unauthorized access, cybersecurity attacks and other cybersecurity incidents, including as perpetrated by hackers, and unintentional damage or disruption to hardware and software systems, loss of data, and misappropriation of confidential, personal, and other sensitive or proprietary information. To identify and assess material risks from cybersecurity threats, we maintain a comprehensive cybersecurity program designed to ensure that our systems are effective and prepared for information security risks, including regular oversight of our programs for security monitoring for internal and external threats to ensure the confidentiality and integrity of our information assets. We consider risks from cybersecurity threats alongside other company risks as part of our overall risk assessment process. We engage industry recognized third-party cybersecurity consultants and technology to assist us with monitoring and maintaining the performance and effectiveness of our systems, network, and data. We maintain a cybersecurity risk management program designed to identify, assess, manage, mitigate, and respond to cybersecurity threats. This program, in conjunction with our enterprise risk management assessment processes, addresses cybersecurity risks to our information technology environment including systems, hardware, software, data, people, and processes.</w:t>
      </w:r>
    </w:p>
    <w:p>
      <w:pPr>
        <w:spacing w:after="0" w:line="188" w:lineRule="exact"/>
        <w:rPr>
          <w:sz w:val="20"/>
          <w:szCs w:val="20"/>
          <w:color w:val="auto"/>
        </w:rPr>
      </w:pPr>
    </w:p>
    <w:p>
      <w:pPr>
        <w:ind w:right="280" w:firstLine="646"/>
        <w:spacing w:after="0" w:line="257" w:lineRule="auto"/>
        <w:rPr>
          <w:sz w:val="20"/>
          <w:szCs w:val="20"/>
          <w:color w:val="auto"/>
        </w:rPr>
      </w:pPr>
      <w:r>
        <w:rPr>
          <w:rFonts w:ascii="Times New Roman" w:cs="Times New Roman" w:eastAsia="Times New Roman" w:hAnsi="Times New Roman"/>
          <w:sz w:val="18"/>
          <w:szCs w:val="18"/>
          <w:color w:val="auto"/>
        </w:rPr>
        <w:t>We describe whether and how risks from identified cybersecurity threats, including as a result of any previous cybersecurity incidents, have materially affected or are reasonably likely to materially affect us, including our business strategy, results of operations, or financial condition, under the heading “</w:t>
      </w:r>
      <w:r>
        <w:rPr>
          <w:rFonts w:ascii="Times New Roman" w:cs="Times New Roman" w:eastAsia="Times New Roman" w:hAnsi="Times New Roman"/>
          <w:sz w:val="18"/>
          <w:szCs w:val="18"/>
          <w:i w:val="1"/>
          <w:iCs w:val="1"/>
          <w:color w:val="auto"/>
        </w:rPr>
        <w:t>If our information technology systems or data, or those of third parties upon which we rely, are of were compromised, we could experience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adverse consequences resulting from such compromise, including regulatory investigations or actions, litigation, fines and penalties, disruptions of our business operations, reputational harm, and other loss of revenue or profits,</w:t>
      </w:r>
      <w:r>
        <w:rPr>
          <w:rFonts w:ascii="Times New Roman" w:cs="Times New Roman" w:eastAsia="Times New Roman" w:hAnsi="Times New Roman"/>
          <w:sz w:val="18"/>
          <w:szCs w:val="18"/>
          <w:color w:val="auto"/>
        </w:rPr>
        <w:t>” which disclosures are incorporated by reference herein.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Process for Assessing, Identifying and Managing Material Risks from Cybersecurity Threats</w:t>
      </w:r>
    </w:p>
    <w:p>
      <w:pPr>
        <w:spacing w:after="0" w:line="228" w:lineRule="exact"/>
        <w:rPr>
          <w:sz w:val="20"/>
          <w:szCs w:val="20"/>
          <w:color w:val="auto"/>
        </w:rPr>
      </w:pPr>
    </w:p>
    <w:p>
      <w:pPr>
        <w:ind w:right="200" w:firstLine="646"/>
        <w:spacing w:after="0" w:line="260" w:lineRule="auto"/>
        <w:rPr>
          <w:sz w:val="20"/>
          <w:szCs w:val="20"/>
          <w:color w:val="auto"/>
        </w:rPr>
      </w:pPr>
      <w:r>
        <w:rPr>
          <w:rFonts w:ascii="Times New Roman" w:cs="Times New Roman" w:eastAsia="Times New Roman" w:hAnsi="Times New Roman"/>
          <w:sz w:val="18"/>
          <w:szCs w:val="18"/>
          <w:color w:val="auto"/>
        </w:rPr>
        <w:t>We engage third-party cybersecurity professionals and consultants, including those that provide cybersecurity risk advisory and information technology administration services, as a key component of our cybersecurity risk management strategy. Such third parties also generally assist us with oversight and administration of our cybersecurity risk management program and inform senior management and other relevant stakeholders regarding the prevention, detection, mitigation, and remediation of cybersecurity incidents.</w:t>
      </w:r>
    </w:p>
    <w:p>
      <w:pPr>
        <w:spacing w:after="0" w:line="181" w:lineRule="exact"/>
        <w:rPr>
          <w:sz w:val="20"/>
          <w:szCs w:val="20"/>
          <w:color w:val="auto"/>
        </w:rPr>
      </w:pPr>
    </w:p>
    <w:p>
      <w:pPr>
        <w:ind w:right="60" w:firstLine="646"/>
        <w:spacing w:after="0" w:line="257" w:lineRule="auto"/>
        <w:rPr>
          <w:sz w:val="20"/>
          <w:szCs w:val="20"/>
          <w:color w:val="auto"/>
        </w:rPr>
      </w:pPr>
      <w:r>
        <w:rPr>
          <w:rFonts w:ascii="Times New Roman" w:cs="Times New Roman" w:eastAsia="Times New Roman" w:hAnsi="Times New Roman"/>
          <w:sz w:val="18"/>
          <w:szCs w:val="18"/>
          <w:color w:val="auto"/>
        </w:rPr>
        <w:t>We utilize third-party specialists to conduct annual assessments of our cybersecurity risk management program, which incorporate recognized best practices and standards for cybersecurity and information technology, including the National Institute of Standards and Technology Cybersecurity Framework. The annual risk assessment identifies, quantifies, and categorizes material cybersecurity risks. In addition, in conjunction with our third-party cybersecurity risk management specialists, we develop a risk mitigation plan to address identified risks, and where necessary, remediate potential vulnerabilities.</w:t>
      </w:r>
    </w:p>
    <w:p>
      <w:pPr>
        <w:spacing w:after="0" w:line="185" w:lineRule="exact"/>
        <w:rPr>
          <w:sz w:val="20"/>
          <w:szCs w:val="20"/>
          <w:color w:val="auto"/>
        </w:rPr>
      </w:pPr>
    </w:p>
    <w:p>
      <w:pPr>
        <w:ind w:firstLine="646"/>
        <w:spacing w:after="0" w:line="260" w:lineRule="auto"/>
        <w:rPr>
          <w:sz w:val="20"/>
          <w:szCs w:val="20"/>
          <w:color w:val="auto"/>
        </w:rPr>
      </w:pPr>
      <w:r>
        <w:rPr>
          <w:rFonts w:ascii="Times New Roman" w:cs="Times New Roman" w:eastAsia="Times New Roman" w:hAnsi="Times New Roman"/>
          <w:sz w:val="18"/>
          <w:szCs w:val="18"/>
          <w:color w:val="auto"/>
        </w:rPr>
        <w:t>In addition, we maintain information security processes designed to safeguard and manage confidential, personal, and other sensitive or proprietary data, manage access and user accounts, and protect our information technology assets, data, and services from threats and vulnerabilities. We also maintain an information technology assets inventory, identity access management controls including restricted access to privileged accounts, and physical security measures at our facilities.</w:t>
      </w:r>
    </w:p>
    <w:p>
      <w:pPr>
        <w:spacing w:after="0" w:line="181" w:lineRule="exact"/>
        <w:rPr>
          <w:sz w:val="20"/>
          <w:szCs w:val="20"/>
          <w:color w:val="auto"/>
        </w:rPr>
      </w:pPr>
    </w:p>
    <w:p>
      <w:pPr>
        <w:ind w:right="140" w:firstLine="646"/>
        <w:spacing w:after="0" w:line="256" w:lineRule="auto"/>
        <w:rPr>
          <w:sz w:val="20"/>
          <w:szCs w:val="20"/>
          <w:color w:val="auto"/>
        </w:rPr>
      </w:pPr>
      <w:r>
        <w:rPr>
          <w:rFonts w:ascii="Times New Roman" w:cs="Times New Roman" w:eastAsia="Times New Roman" w:hAnsi="Times New Roman"/>
          <w:sz w:val="18"/>
          <w:szCs w:val="18"/>
          <w:color w:val="auto"/>
        </w:rPr>
        <w:t>Our processes also address cybersecurity threat risks associated with our use of third-party service providers, including our suppliers and manufacturers who have access to our data or our systems. In addition, cybersecurity considerations affect the selection and oversight of our third-party service providers. We perform diligence on third parties that have access to our systems, data or facilities that house such systems or data, and continually monitor cybersecurity threat risks identified through such diligence. Additionally, we generally require those third parties that could introduce significant cybersecurity risk to us to agree by contract to manage their cybersecurity risks in specified ways, and to agree to be subject to cybersecurity audits, which we conduct as appropriate.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last fiscal year, we have not experienced any material cybersecurity incidents.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 Oversight</w:t>
      </w:r>
    </w:p>
    <w:p>
      <w:pPr>
        <w:spacing w:after="0" w:line="226" w:lineRule="exact"/>
        <w:rPr>
          <w:sz w:val="20"/>
          <w:szCs w:val="20"/>
          <w:color w:val="auto"/>
        </w:rPr>
      </w:pPr>
    </w:p>
    <w:p>
      <w:pPr>
        <w:ind w:right="40" w:firstLine="646"/>
        <w:spacing w:after="0" w:line="256" w:lineRule="auto"/>
        <w:rPr>
          <w:sz w:val="20"/>
          <w:szCs w:val="20"/>
          <w:color w:val="auto"/>
        </w:rPr>
      </w:pPr>
      <w:r>
        <w:rPr>
          <w:rFonts w:ascii="Times New Roman" w:cs="Times New Roman" w:eastAsia="Times New Roman" w:hAnsi="Times New Roman"/>
          <w:sz w:val="18"/>
          <w:szCs w:val="18"/>
          <w:color w:val="auto"/>
        </w:rPr>
        <w:t>Our cybersecurity program is overseen by our management team with assistance from our third-party information technology and cybersecurity consultants, with responsibility to lead our enterprise-wide cybersecurity strategy, policy, standards, architecture, and processes. This includes management of our controls and processes employed to assess, identify and manage material risks from cybersecurity threats. Our management team selects, deploys, and oversees cybersecurity technologies, initiatives, and processes directly or via selection of strategic third-party partners, and relies on threat intelligence as well as other information obtained from governmental, public, or private sources, including external consultants engaged for strategic cybersecurity risk management, advisory and decision making.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Oversight</w:t>
      </w:r>
    </w:p>
    <w:p>
      <w:pPr>
        <w:spacing w:after="0" w:line="226" w:lineRule="exact"/>
        <w:rPr>
          <w:sz w:val="20"/>
          <w:szCs w:val="20"/>
          <w:color w:val="auto"/>
        </w:rPr>
      </w:pPr>
    </w:p>
    <w:p>
      <w:pPr>
        <w:ind w:firstLine="646"/>
        <w:spacing w:after="0" w:line="255" w:lineRule="auto"/>
        <w:rPr>
          <w:sz w:val="20"/>
          <w:szCs w:val="20"/>
          <w:color w:val="auto"/>
        </w:rPr>
      </w:pPr>
      <w:r>
        <w:rPr>
          <w:rFonts w:ascii="Times New Roman" w:cs="Times New Roman" w:eastAsia="Times New Roman" w:hAnsi="Times New Roman"/>
          <w:sz w:val="18"/>
          <w:szCs w:val="18"/>
          <w:color w:val="auto"/>
        </w:rPr>
        <w:t>Our board of directors oversees our cybersecurity risk exposures and the steps taken by our management team to monitor and mitigate cybersecurity risks. Our management team, in consultation with our third-party information technology and cybersecurity consultants, brief our board of directors on assessing and managing cybersecurity risks. In addition, cybersecurity risks are reviewed by our board of directors at least annually, as part of our corporate risk oversight processes. Our third-party information technology and cybersecurity consultants and management team provide periodic reports to our board of directors on cyber vulnerabilities identified through the risk management process, the effectiveness of our cybersecurity risk management program, the emerging threat landscape, and new cybersecurity risks on at least an annual basis. Such reports include updates on the processes to prevent, detect, and mitigate cybersecurity incidents.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8" w:lineRule="exact"/>
        <w:rPr>
          <w:sz w:val="20"/>
          <w:szCs w:val="20"/>
          <w:color w:val="auto"/>
        </w:rPr>
      </w:pPr>
    </w:p>
    <w:p>
      <w:pPr>
        <w:ind w:right="180" w:firstLine="646"/>
        <w:spacing w:after="0" w:line="281" w:lineRule="auto"/>
        <w:rPr>
          <w:sz w:val="20"/>
          <w:szCs w:val="20"/>
          <w:color w:val="auto"/>
        </w:rPr>
      </w:pPr>
      <w:r>
        <w:rPr>
          <w:rFonts w:ascii="Times New Roman" w:cs="Times New Roman" w:eastAsia="Times New Roman" w:hAnsi="Times New Roman"/>
          <w:sz w:val="18"/>
          <w:szCs w:val="18"/>
          <w:color w:val="auto"/>
        </w:rPr>
        <w:t>Our corporate headquarters are located in Norwest, New South Wales, where we lease commercial office space under a lease that expires in July 2026, with an option to extend the lease for two additional two-year periods.</w:t>
      </w:r>
    </w:p>
    <w:p>
      <w:pPr>
        <w:spacing w:after="0" w:line="162" w:lineRule="exact"/>
        <w:rPr>
          <w:sz w:val="20"/>
          <w:szCs w:val="20"/>
          <w:color w:val="auto"/>
        </w:rPr>
      </w:pPr>
    </w:p>
    <w:p>
      <w:pPr>
        <w:ind w:right="540" w:firstLine="646"/>
        <w:spacing w:after="0" w:line="281" w:lineRule="auto"/>
        <w:rPr>
          <w:sz w:val="20"/>
          <w:szCs w:val="20"/>
          <w:color w:val="auto"/>
        </w:rPr>
      </w:pPr>
      <w:r>
        <w:rPr>
          <w:rFonts w:ascii="Times New Roman" w:cs="Times New Roman" w:eastAsia="Times New Roman" w:hAnsi="Times New Roman"/>
          <w:sz w:val="18"/>
          <w:szCs w:val="18"/>
          <w:color w:val="auto"/>
        </w:rPr>
        <w:t>We believe substantially all of our property and equipment is in good condition and that Incannex has sufficient capacity to meet its current operational needs.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8" w:lineRule="exact"/>
        <w:rPr>
          <w:sz w:val="20"/>
          <w:szCs w:val="20"/>
          <w:color w:val="auto"/>
        </w:rPr>
      </w:pPr>
    </w:p>
    <w:p>
      <w:pPr>
        <w:ind w:right="100" w:firstLine="646"/>
        <w:spacing w:after="0" w:line="260"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arising in the ordinary course of our business. We are not currently a party to any material litigation or legal proceedings that, in the opinion of our management, are likely to have a material adverse effect on our business. Regardless of outcome, litigation can have an adverse impact on us because of defense and settlement costs, diversion of management resources, negative publicity, reputational harm and other factors.</w:t>
      </w:r>
    </w:p>
    <w:p>
      <w:pPr>
        <w:spacing w:after="0" w:line="177" w:lineRule="exact"/>
        <w:rPr>
          <w:sz w:val="20"/>
          <w:szCs w:val="20"/>
          <w:color w:val="auto"/>
        </w:rPr>
      </w:pPr>
    </w:p>
    <w:p>
      <w:pPr>
        <w:jc w:val="center"/>
        <w:ind w:right="8780"/>
        <w:spacing w:after="0"/>
        <w:rPr>
          <w:sz w:val="20"/>
          <w:szCs w:val="20"/>
          <w:color w:val="auto"/>
        </w:rPr>
      </w:pPr>
      <w:r>
        <w:rPr>
          <w:rFonts w:ascii="Times New Roman" w:cs="Times New Roman" w:eastAsia="Times New Roman" w:hAnsi="Times New Roman"/>
          <w:sz w:val="17"/>
          <w:szCs w:val="17"/>
          <w:b w:val="1"/>
          <w:bCs w:val="1"/>
          <w:color w:val="auto"/>
        </w:rPr>
        <w:t>Item 4. Mine Safety Disclosures</w:t>
      </w:r>
    </w:p>
    <w:p>
      <w:pPr>
        <w:spacing w:after="0" w:line="2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00"/>
          </w:cols>
          <w:pgMar w:left="320" w:top="871" w:right="379" w:bottom="1440" w:gutter="0" w:footer="0" w:header="0"/>
        </w:sectPr>
      </w:pPr>
    </w:p>
    <w:bookmarkStart w:id="82" w:name="page83"/>
    <w:bookmarkEnd w:id="82"/>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4" w:lineRule="exact"/>
        <w:rPr>
          <w:sz w:val="20"/>
          <w:szCs w:val="20"/>
          <w:color w:val="auto"/>
        </w:rPr>
      </w:pPr>
    </w:p>
    <w:p>
      <w:pPr>
        <w:ind w:right="1900"/>
        <w:spacing w:after="0" w:line="502"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 for Our Common Shares</w:t>
      </w:r>
    </w:p>
    <w:p>
      <w:pPr>
        <w:ind w:left="660"/>
        <w:spacing w:after="0"/>
        <w:rPr>
          <w:sz w:val="20"/>
          <w:szCs w:val="20"/>
          <w:color w:val="auto"/>
        </w:rPr>
      </w:pPr>
      <w:r>
        <w:rPr>
          <w:rFonts w:ascii="Times New Roman" w:cs="Times New Roman" w:eastAsia="Times New Roman" w:hAnsi="Times New Roman"/>
          <w:sz w:val="18"/>
          <w:szCs w:val="18"/>
          <w:color w:val="auto"/>
        </w:rPr>
        <w:t>Our shares of common stock commenced trading on the Nasdaq Global Market in November 2023 under the symbol “IXHL.”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July 31, 2024, there were 17,642,832 shares of our common stock outstanding and held of record by approximately 4,991 stockholders.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8" w:lineRule="exact"/>
        <w:rPr>
          <w:sz w:val="20"/>
          <w:szCs w:val="20"/>
          <w:color w:val="auto"/>
        </w:rPr>
      </w:pPr>
    </w:p>
    <w:p>
      <w:pPr>
        <w:ind w:firstLine="646"/>
        <w:spacing w:after="0" w:line="265" w:lineRule="auto"/>
        <w:rPr>
          <w:sz w:val="20"/>
          <w:szCs w:val="20"/>
          <w:color w:val="auto"/>
        </w:rPr>
      </w:pPr>
      <w:r>
        <w:rPr>
          <w:rFonts w:ascii="Times New Roman" w:cs="Times New Roman" w:eastAsia="Times New Roman" w:hAnsi="Times New Roman"/>
          <w:sz w:val="18"/>
          <w:szCs w:val="18"/>
          <w:color w:val="auto"/>
        </w:rPr>
        <w:t>We have never declared or paid any dividends on our shares of common stock. We intend to retain any earnings for use in our business and do not currently intend to pay cash dividends on our shares of common stock. Dividends, if any, on our outstanding shares of common stock will be declared by and subject to the discretion of our board of directors, and subject to the terms of our debt arrangements, as described above, and Delaware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8" w:lineRule="exact"/>
        <w:rPr>
          <w:sz w:val="20"/>
          <w:szCs w:val="20"/>
          <w:color w:val="auto"/>
        </w:rPr>
      </w:pPr>
    </w:p>
    <w:p>
      <w:pPr>
        <w:ind w:right="200" w:firstLine="646"/>
        <w:spacing w:after="0" w:line="281" w:lineRule="auto"/>
        <w:rPr>
          <w:sz w:val="20"/>
          <w:szCs w:val="20"/>
          <w:color w:val="auto"/>
        </w:rPr>
      </w:pPr>
      <w:r>
        <w:rPr>
          <w:rFonts w:ascii="Times New Roman" w:cs="Times New Roman" w:eastAsia="Times New Roman" w:hAnsi="Times New Roman"/>
          <w:sz w:val="18"/>
          <w:szCs w:val="18"/>
          <w:color w:val="auto"/>
        </w:rPr>
        <w:t>The information included under Item 12 of Part III of this Annual Report, “Security Ownership of Certain Beneficial Owners and Management and Related Stockholder Matters,” is hereby incorporated by reference 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140"/>
          </w:cols>
          <w:pgMar w:left="320" w:top="871"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6" w:lineRule="exact"/>
        <w:rPr>
          <w:sz w:val="20"/>
          <w:szCs w:val="20"/>
          <w:color w:val="auto"/>
        </w:rPr>
      </w:pPr>
    </w:p>
    <w:p>
      <w:pPr>
        <w:ind w:right="60" w:firstLine="646"/>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the related notes included elsewhere in this Annual Report. This discussion and analysis contains forward looking statements and involves numerous risks and uncertainties, including, but not limited to, those described in the “Risk Factors” section of this Annual Report. Actual results may differ materially from those contained in any forward-looking statements. For a discussion on forward-looking statements, see the information set forth in the introductory note to this Annual Report under the caption “Special Note Regarding Forward Looking Statements,” which information is incorporated herein by reference.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8" w:lineRule="exact"/>
        <w:rPr>
          <w:sz w:val="20"/>
          <w:szCs w:val="20"/>
          <w:color w:val="auto"/>
        </w:rPr>
      </w:pPr>
    </w:p>
    <w:p>
      <w:pPr>
        <w:ind w:right="180" w:firstLine="646"/>
        <w:spacing w:after="0" w:line="257" w:lineRule="auto"/>
        <w:rPr>
          <w:sz w:val="20"/>
          <w:szCs w:val="20"/>
          <w:color w:val="auto"/>
        </w:rPr>
      </w:pPr>
      <w:r>
        <w:rPr>
          <w:rFonts w:ascii="Times New Roman" w:cs="Times New Roman" w:eastAsia="Times New Roman" w:hAnsi="Times New Roman"/>
          <w:sz w:val="18"/>
          <w:szCs w:val="18"/>
          <w:color w:val="auto"/>
        </w:rPr>
        <w:t>We are a clinical-stage biopharmaceutical development company dedicated to developing innovative medicines for patients living with serious chronic diseases and significant unmet needs. Our lead drug candidates, which are currently in Phase 2/3 and Phase 2 clinical developments, include IHL-42X for the treatment of OSA; PSX-001, our psilocybin treatment in combination with psychological therapy in development to treat patients with GAD; and IHL-675A for rheumatoid arthritis. Each of these programs target conditions that currently have limited, inadequate, or no approved pharmaceutical treatment options.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Equity-Line of Credit</w:t>
      </w:r>
    </w:p>
    <w:p>
      <w:pPr>
        <w:spacing w:after="0" w:line="228" w:lineRule="exact"/>
        <w:rPr>
          <w:sz w:val="20"/>
          <w:szCs w:val="20"/>
          <w:color w:val="auto"/>
        </w:rPr>
      </w:pPr>
    </w:p>
    <w:p>
      <w:pPr>
        <w:ind w:firstLine="646"/>
        <w:spacing w:after="0" w:line="251" w:lineRule="auto"/>
        <w:rPr>
          <w:sz w:val="20"/>
          <w:szCs w:val="20"/>
          <w:color w:val="auto"/>
        </w:rPr>
      </w:pPr>
      <w:r>
        <w:rPr>
          <w:rFonts w:ascii="Times New Roman" w:cs="Times New Roman" w:eastAsia="Times New Roman" w:hAnsi="Times New Roman"/>
          <w:sz w:val="18"/>
          <w:szCs w:val="18"/>
          <w:color w:val="auto"/>
        </w:rPr>
        <w:t>On September 9, 2024, we entered into the ELOC Agreement with Arena Business. Under the ELOC Agreement, we have the right to sell, and Arena Business has the obligation to buy, up to $50 million of our common stock, in each case, subject to customary closing conditions. The purchase price per share of our common stock is obtained by multiplying by 96% the daily volume weighted average price (“VWAP”) on Nasdaq for the trading day specified in the sale notice (same trading day or one trading day following such notice) delivered to Arena Business. The ELOC Agreement is effective for 36 months from its execution. As consideration for Arena Business’ execution and delivery of the ELOC Agreement, we will (i) issue to Arena Business, as a commitment fee, that number of shares of our common stock equal to 250,000 divided by the simple average of the daily VWAP of our common stock during the five trading days immediately preceding the effectiveness of a “shelf” registration statement on Form S-3 on which the estimated number of shares of our common stock are registered, and (ii) issue the ELOC Warrant exercisable for 585,000 shares of our common stock, with a five year expiration and an exercise price equal to 115% of the closing price of our common stock on the warrant issuance date. However, we may not sell common stock to Arena Business under the ELOC Agreement if (i) a shelf Registration Statement on Form S-3 that registers the common stock issuable under the ELOC Agreement has not been declared effective by the SEC; (ii) the number of shares of our common stock issuable to Arena Business pursuant to a sale notice causes the aggregate number of shares of our common stock beneficially owned by Arena Business and its affiliates would exceed 9.99% of the number of shares of our common stock then outstanding; (iii) after giving effect to such sale (a) the aggregate number of shares of our common stock issued under the ELOC Agreement, (b) the aggregate number of shares of our common stock issued upon exercise of the ELOC Warrant, (c) the aggregate number of shares of our common stock issued upon conversion of a secured convertible debenture issued to Arena Investors, LP (as discussed below) and upon exercise of the warrant issued in connection with such convertible debenture, would exceed 19.99% of the number of shares of our common stock outstanding as of the date of the ELOC Agreement, unless the Company obtains the requisite stockholder approval for issuances in excess of such limit; or</w:t>
      </w:r>
    </w:p>
    <w:p>
      <w:pPr>
        <w:spacing w:after="0" w:line="2" w:lineRule="exact"/>
        <w:rPr>
          <w:sz w:val="20"/>
          <w:szCs w:val="20"/>
          <w:color w:val="auto"/>
        </w:rPr>
      </w:pPr>
    </w:p>
    <w:p>
      <w:pPr>
        <w:ind w:right="180" w:firstLine="8"/>
        <w:spacing w:after="0" w:line="254" w:lineRule="auto"/>
        <w:tabs>
          <w:tab w:leader="none" w:pos="30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sale of shares of our common stock would exceed, during any 12-month period, one-third of the Company’s public float under the SEC’s “baby shelf” rule for SEC-registered transactions by an issuer with a public float under $75 million when using a “shelf” registration statement on Form S-3. We have not yet filed a registration statement on Form S-3 for the issuances to be made under the ELOC Agreement.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Debenture Financing</w:t>
      </w:r>
    </w:p>
    <w:p>
      <w:pPr>
        <w:spacing w:after="0" w:line="228" w:lineRule="exact"/>
        <w:rPr>
          <w:sz w:val="20"/>
          <w:szCs w:val="20"/>
          <w:color w:val="auto"/>
        </w:rPr>
      </w:pPr>
    </w:p>
    <w:p>
      <w:pPr>
        <w:ind w:right="140" w:firstLine="646"/>
        <w:spacing w:after="0" w:line="257" w:lineRule="auto"/>
        <w:rPr>
          <w:sz w:val="20"/>
          <w:szCs w:val="20"/>
          <w:color w:val="auto"/>
        </w:rPr>
      </w:pPr>
      <w:r>
        <w:rPr>
          <w:rFonts w:ascii="Times New Roman" w:cs="Times New Roman" w:eastAsia="Times New Roman" w:hAnsi="Times New Roman"/>
          <w:sz w:val="18"/>
          <w:szCs w:val="18"/>
          <w:color w:val="auto"/>
        </w:rPr>
        <w:t>On September 9, 2024, we entered into the September 2024 Purchase Agreement with Arena Investors, LP. Under the September 2024 Purchase Agreement, we will issue the September 2024 Debentures in an aggregate principal amount of up to $10 million at an aggregate purchase price of up to $9 million, divided into three separate tranches that are each subject to closing conditions, with a 10% original issue discount. The conversion price of each September 2024 Debenture would be equal to 115% of the closing price of our common stock on the trading day preceding the date of the issuance of the September 2024 Debenture, subject to adjustments related to the trading price of our common stock on the Nasdaq Global Market.</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84" w:name="page85"/>
    <w:bookmarkEnd w:id="84"/>
    <w:p>
      <w:pPr>
        <w:jc w:val="both"/>
        <w:ind w:right="120" w:firstLine="646"/>
        <w:spacing w:after="0" w:line="265" w:lineRule="auto"/>
        <w:rPr>
          <w:sz w:val="20"/>
          <w:szCs w:val="20"/>
          <w:color w:val="auto"/>
        </w:rPr>
      </w:pPr>
      <w:r>
        <w:rPr>
          <w:rFonts w:ascii="Times New Roman" w:cs="Times New Roman" w:eastAsia="Times New Roman" w:hAnsi="Times New Roman"/>
          <w:sz w:val="18"/>
          <w:szCs w:val="18"/>
          <w:color w:val="auto"/>
        </w:rPr>
        <w:t>We and our subsidiaries, Incannex Healthcare Pty Ltd, Incannex Pty Ltd and Psychennex Pty Ltd, will grant senior security interests in all of our tangible and intangible assets, except for certain R&amp;D Australian tax incentives, which are subject to a subordinated security interest. Our subsidiaries will also guarantee the September 2024 Debenture.</w:t>
      </w:r>
    </w:p>
    <w:p>
      <w:pPr>
        <w:spacing w:after="0" w:line="176" w:lineRule="exact"/>
        <w:rPr>
          <w:sz w:val="20"/>
          <w:szCs w:val="20"/>
          <w:color w:val="auto"/>
        </w:rPr>
      </w:pPr>
    </w:p>
    <w:p>
      <w:pPr>
        <w:ind w:right="80" w:firstLine="646"/>
        <w:spacing w:after="0" w:line="256" w:lineRule="auto"/>
        <w:rPr>
          <w:sz w:val="20"/>
          <w:szCs w:val="20"/>
          <w:color w:val="auto"/>
        </w:rPr>
      </w:pPr>
      <w:r>
        <w:rPr>
          <w:rFonts w:ascii="Times New Roman" w:cs="Times New Roman" w:eastAsia="Times New Roman" w:hAnsi="Times New Roman"/>
          <w:sz w:val="18"/>
          <w:szCs w:val="18"/>
          <w:color w:val="auto"/>
        </w:rPr>
        <w:t>As additional consideration for the Purchaser’s purchase of each September 2024 Debenture, we will issue a warrant (a “September 2024 Debenture Warrant”), with a five year expiration, each exercisable for number of shares of our common stock equal to 25% of the total principal amount of the related September 2024 September 2024 Debenture purchased by the Purchaser on the applicable closing date divided by 115% of the closing price of our common stock on the trading day immediately preceding such closing date. We are not obligated to issue a September 2024 Debenture Warrant with respect to any September 2024 Debenture tranche that does not close. The exercise price of each September 2024 Debenture Warrant will be 115% of the closing price of our common stock on its issuance date.</w:t>
      </w:r>
    </w:p>
    <w:p>
      <w:pPr>
        <w:spacing w:after="0" w:line="184" w:lineRule="exact"/>
        <w:rPr>
          <w:sz w:val="20"/>
          <w:szCs w:val="20"/>
          <w:color w:val="auto"/>
        </w:rPr>
      </w:pPr>
    </w:p>
    <w:p>
      <w:pPr>
        <w:ind w:right="40" w:firstLine="646"/>
        <w:spacing w:after="0" w:line="260" w:lineRule="auto"/>
        <w:rPr>
          <w:sz w:val="20"/>
          <w:szCs w:val="20"/>
          <w:color w:val="auto"/>
        </w:rPr>
      </w:pPr>
      <w:r>
        <w:rPr>
          <w:rFonts w:ascii="Times New Roman" w:cs="Times New Roman" w:eastAsia="Times New Roman" w:hAnsi="Times New Roman"/>
          <w:sz w:val="18"/>
          <w:szCs w:val="18"/>
          <w:color w:val="auto"/>
        </w:rPr>
        <w:t>We must register the shares of our common stock issuable upon conversion of the September 2024 Debentures and exercise of the September 2024 Debenture Warrants. However, the issuance of the common stock underlying the September 2024 Debenture and the September 2024 Debenture Warrants are subject to stockholder approval to the extent the issuance would exceed 19.99% of the number of shares of our common stock outstanding as of the date of the September 2024 Purchase Agreement.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Fiscal Years Ended June 30, 2024 to June 30, 2023</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summarize our results of operations for the periods presented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gridSpan w:val="6"/>
          </w:tcPr>
          <w:p>
            <w:pPr>
              <w:jc w:val="center"/>
              <w:ind w:right="536"/>
              <w:spacing w:after="0"/>
              <w:rPr>
                <w:sz w:val="20"/>
                <w:szCs w:val="20"/>
                <w:color w:val="auto"/>
              </w:rPr>
            </w:pPr>
            <w:r>
              <w:rPr>
                <w:rFonts w:ascii="Times New Roman" w:cs="Times New Roman" w:eastAsia="Times New Roman" w:hAnsi="Times New Roman"/>
                <w:sz w:val="18"/>
                <w:szCs w:val="18"/>
                <w:b w:val="1"/>
                <w:bCs w:val="1"/>
                <w:color w:val="auto"/>
                <w:w w:val="98"/>
              </w:rPr>
              <w:t>For the Years</w:t>
            </w:r>
          </w:p>
        </w:tc>
        <w:tc>
          <w:tcPr>
            <w:tcW w:w="94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120" w:type="dxa"/>
            <w:vAlign w:val="bottom"/>
            <w:vMerge w:val="restart"/>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6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20" w:type="dxa"/>
            <w:vAlign w:val="bottom"/>
            <w:gridSpan w:val="6"/>
          </w:tcPr>
          <w:p>
            <w:pPr>
              <w:jc w:val="center"/>
              <w:ind w:right="556"/>
              <w:spacing w:after="0"/>
              <w:rPr>
                <w:sz w:val="20"/>
                <w:szCs w:val="20"/>
                <w:color w:val="auto"/>
              </w:rPr>
            </w:pPr>
            <w:r>
              <w:rPr>
                <w:rFonts w:ascii="Times New Roman" w:cs="Times New Roman" w:eastAsia="Times New Roman" w:hAnsi="Times New Roman"/>
                <w:sz w:val="18"/>
                <w:szCs w:val="18"/>
                <w:b w:val="1"/>
                <w:bCs w:val="1"/>
                <w:color w:val="auto"/>
                <w:w w:val="99"/>
              </w:rPr>
              <w:t>Ended June 30</w:t>
            </w:r>
          </w:p>
        </w:tc>
        <w:tc>
          <w:tcPr>
            <w:tcW w:w="9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6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3"/>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0" w:type="dxa"/>
            <w:vAlign w:val="bottom"/>
          </w:tcPr>
          <w:p>
            <w:pPr>
              <w:spacing w:after="0"/>
              <w:rPr>
                <w:sz w:val="20"/>
                <w:szCs w:val="20"/>
                <w:color w:val="auto"/>
              </w:rPr>
            </w:pPr>
          </w:p>
        </w:tc>
        <w:tc>
          <w:tcPr>
            <w:tcW w:w="13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5"/>
        </w:trPr>
        <w:tc>
          <w:tcPr>
            <w:tcW w:w="4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from customers</w:t>
            </w:r>
          </w:p>
        </w:tc>
        <w:tc>
          <w:tcPr>
            <w:tcW w:w="1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8"/>
                <w:szCs w:val="18"/>
                <w:color w:val="auto"/>
              </w:rPr>
              <w:t>(12,879)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(6,309)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8"/>
                <w:szCs w:val="18"/>
                <w:color w:val="auto"/>
              </w:rPr>
              <w:t>(6,570)</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5"/>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Acquisition of in-process research and development</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3"/>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(35,347)</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35,347</w:t>
            </w:r>
          </w:p>
        </w:tc>
        <w:tc>
          <w:tcPr>
            <w:tcW w:w="2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9"/>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8"/>
                <w:szCs w:val="18"/>
                <w:color w:val="auto"/>
              </w:rPr>
              <w:t>(17,174)</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(8,012)</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8"/>
                <w:szCs w:val="18"/>
                <w:color w:val="auto"/>
              </w:rPr>
              <w:t>(9,162)</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09"/>
        </w:trPr>
        <w:tc>
          <w:tcPr>
            <w:tcW w:w="4640" w:type="dxa"/>
            <w:vAlign w:val="bottom"/>
            <w:tcBorders>
              <w:top w:val="single" w:sz="8" w:color="CCEEFF"/>
              <w:bottom w:val="single" w:sz="8" w:color="CCEEFF"/>
            </w:tcBorders>
          </w:tcPr>
          <w:p>
            <w:pPr>
              <w:spacing w:after="0" w:line="202" w:lineRule="exact"/>
              <w:rPr>
                <w:sz w:val="20"/>
                <w:szCs w:val="20"/>
                <w:color w:val="auto"/>
              </w:rPr>
            </w:pPr>
            <w:r>
              <w:rPr>
                <w:rFonts w:ascii="Times New Roman" w:cs="Times New Roman" w:eastAsia="Times New Roman" w:hAnsi="Times New Roman"/>
                <w:sz w:val="18"/>
                <w:szCs w:val="18"/>
                <w:color w:val="auto"/>
              </w:rPr>
              <w:t>Total operating expenses</w:t>
            </w:r>
          </w:p>
        </w:tc>
        <w:tc>
          <w:tcPr>
            <w:tcW w:w="12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(30,053</w:t>
            </w:r>
          </w:p>
        </w:tc>
        <w:tc>
          <w:tcPr>
            <w:tcW w:w="220" w:type="dxa"/>
            <w:vAlign w:val="bottom"/>
            <w:tcBorders>
              <w:top w:val="single" w:sz="8" w:color="CCEEFF"/>
              <w:bottom w:val="single" w:sz="8" w:color="CCEEFF"/>
            </w:tcBorders>
          </w:tcPr>
          <w:p>
            <w:pPr>
              <w:jc w:val="right"/>
              <w:ind w:right="83"/>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(49,668</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19,615</w:t>
            </w:r>
          </w:p>
        </w:tc>
        <w:tc>
          <w:tcPr>
            <w:tcW w:w="200" w:type="dxa"/>
            <w:vAlign w:val="bottom"/>
            <w:tcBorders>
              <w:top w:val="single" w:sz="8" w:color="CCEEFF"/>
              <w:bottom w:val="single" w:sz="8" w:color="CCEEFF"/>
            </w:tcBorders>
          </w:tcPr>
          <w:p>
            <w:pPr>
              <w:spacing w:after="0"/>
              <w:rPr>
                <w:sz w:val="18"/>
                <w:szCs w:val="18"/>
                <w:color w:val="auto"/>
              </w:rPr>
            </w:pPr>
          </w:p>
        </w:tc>
        <w:tc>
          <w:tcPr>
            <w:tcW w:w="1340" w:type="dxa"/>
            <w:vAlign w:val="bottom"/>
            <w:tcBorders>
              <w:top w:val="single" w:sz="8" w:color="CCEEFF"/>
              <w:bottom w:val="single" w:sz="8" w:color="CCEEFF"/>
            </w:tcBorders>
            <w:gridSpan w:val="2"/>
          </w:tcPr>
          <w:p>
            <w:pPr>
              <w:jc w:val="right"/>
              <w:spacing w:after="0" w:line="202"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15"/>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19,627</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5"/>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income/(expense):</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R&amp;D tax incentive</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8"/>
                <w:szCs w:val="18"/>
                <w:color w:val="auto"/>
              </w:rPr>
              <w:t>11,434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683</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10,751</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1574%</w:t>
            </w:r>
          </w:p>
        </w:tc>
        <w:tc>
          <w:tcPr>
            <w:tcW w:w="0" w:type="dxa"/>
            <w:vAlign w:val="bottom"/>
          </w:tcPr>
          <w:p>
            <w:pPr>
              <w:spacing w:after="0"/>
              <w:rPr>
                <w:sz w:val="1"/>
                <w:szCs w:val="1"/>
                <w:color w:val="auto"/>
              </w:rPr>
            </w:pPr>
          </w:p>
        </w:tc>
      </w:tr>
      <w:tr>
        <w:trPr>
          <w:trHeight w:val="215"/>
        </w:trPr>
        <w:tc>
          <w:tcPr>
            <w:tcW w:w="464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gains (losses)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83"/>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49"/>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3"/>
              <w:spacing w:after="0"/>
              <w:rPr>
                <w:sz w:val="20"/>
                <w:szCs w:val="20"/>
                <w:color w:val="auto"/>
              </w:rPr>
            </w:pPr>
            <w:r>
              <w:rPr>
                <w:rFonts w:ascii="Times New Roman" w:cs="Times New Roman" w:eastAsia="Times New Roman" w:hAnsi="Times New Roman"/>
                <w:sz w:val="18"/>
                <w:szCs w:val="18"/>
                <w:color w:val="auto"/>
              </w:rPr>
              <w:t>206</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241</w:t>
            </w:r>
          </w:p>
        </w:tc>
        <w:tc>
          <w:tcPr>
            <w:tcW w:w="18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8"/>
                <w:szCs w:val="18"/>
                <w:color w:val="auto"/>
              </w:rPr>
              <w:t>(35)</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9"/>
        </w:trPr>
        <w:tc>
          <w:tcPr>
            <w:tcW w:w="4640" w:type="dxa"/>
            <w:vAlign w:val="bottom"/>
            <w:tcBorders>
              <w:top w:val="single" w:sz="8" w:color="CCEEFF"/>
              <w:bottom w:val="single" w:sz="8" w:color="CCEEFF"/>
            </w:tcBorders>
          </w:tcPr>
          <w:p>
            <w:pPr>
              <w:spacing w:after="0" w:line="202" w:lineRule="exact"/>
              <w:rPr>
                <w:sz w:val="20"/>
                <w:szCs w:val="20"/>
                <w:color w:val="auto"/>
              </w:rPr>
            </w:pPr>
            <w:r>
              <w:rPr>
                <w:rFonts w:ascii="Times New Roman" w:cs="Times New Roman" w:eastAsia="Times New Roman" w:hAnsi="Times New Roman"/>
                <w:sz w:val="18"/>
                <w:szCs w:val="18"/>
                <w:color w:val="auto"/>
              </w:rPr>
              <w:t>Total other income/(expense), net</w:t>
            </w:r>
          </w:p>
        </w:tc>
        <w:tc>
          <w:tcPr>
            <w:tcW w:w="12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11,612</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857</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10,755</w:t>
            </w:r>
          </w:p>
        </w:tc>
        <w:tc>
          <w:tcPr>
            <w:tcW w:w="200" w:type="dxa"/>
            <w:vAlign w:val="bottom"/>
            <w:tcBorders>
              <w:top w:val="single" w:sz="8" w:color="CCEEFF"/>
              <w:bottom w:val="single" w:sz="8" w:color="CCEEFF"/>
            </w:tcBorders>
          </w:tcPr>
          <w:p>
            <w:pPr>
              <w:spacing w:after="0"/>
              <w:rPr>
                <w:sz w:val="18"/>
                <w:szCs w:val="18"/>
                <w:color w:val="auto"/>
              </w:rPr>
            </w:pPr>
          </w:p>
        </w:tc>
        <w:tc>
          <w:tcPr>
            <w:tcW w:w="1340" w:type="dxa"/>
            <w:vAlign w:val="bottom"/>
            <w:tcBorders>
              <w:top w:val="single" w:sz="8" w:color="CCEEFF"/>
              <w:bottom w:val="single" w:sz="8" w:color="CCEEFF"/>
            </w:tcBorders>
            <w:gridSpan w:val="2"/>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1255%</w:t>
            </w:r>
          </w:p>
        </w:tc>
        <w:tc>
          <w:tcPr>
            <w:tcW w:w="0" w:type="dxa"/>
            <w:vAlign w:val="bottom"/>
          </w:tcPr>
          <w:p>
            <w:pPr>
              <w:spacing w:after="0"/>
              <w:rPr>
                <w:sz w:val="1"/>
                <w:szCs w:val="1"/>
                <w:color w:val="auto"/>
              </w:rPr>
            </w:pPr>
          </w:p>
        </w:tc>
      </w:tr>
      <w:tr>
        <w:trPr>
          <w:trHeight w:val="235"/>
        </w:trPr>
        <w:tc>
          <w:tcPr>
            <w:tcW w:w="4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2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(18,429</w:t>
            </w:r>
          </w:p>
        </w:tc>
        <w:tc>
          <w:tcPr>
            <w:tcW w:w="22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(48,811</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30,382</w:t>
            </w: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35"/>
        </w:trPr>
        <w:tc>
          <w:tcPr>
            <w:tcW w:w="4640" w:type="dxa"/>
            <w:vAlign w:val="bottom"/>
          </w:tcPr>
          <w:p>
            <w:pPr>
              <w:spacing w:after="0" w:line="135" w:lineRule="exact"/>
              <w:rPr>
                <w:sz w:val="20"/>
                <w:szCs w:val="20"/>
                <w:color w:val="auto"/>
              </w:rPr>
            </w:pPr>
            <w:r>
              <w:rPr>
                <w:rFonts w:ascii="Times New Roman" w:cs="Times New Roman" w:eastAsia="Times New Roman" w:hAnsi="Times New Roman"/>
                <w:sz w:val="15"/>
                <w:szCs w:val="15"/>
                <w:color w:val="auto"/>
              </w:rPr>
              <w:t>Income tax expense</w:t>
            </w: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jc w:val="right"/>
              <w:ind w:right="83"/>
              <w:spacing w:after="0" w:line="135" w:lineRule="exact"/>
              <w:rPr>
                <w:sz w:val="20"/>
                <w:szCs w:val="20"/>
                <w:color w:val="auto"/>
              </w:rPr>
            </w:pPr>
            <w:r>
              <w:rPr>
                <w:rFonts w:ascii="Times New Roman" w:cs="Times New Roman" w:eastAsia="Times New Roman" w:hAnsi="Times New Roman"/>
                <w:sz w:val="15"/>
                <w:szCs w:val="15"/>
                <w:color w:val="auto"/>
                <w:w w:val="79"/>
              </w:rPr>
              <w:t>)</w:t>
            </w:r>
          </w:p>
        </w:tc>
        <w:tc>
          <w:tcPr>
            <w:tcW w:w="240" w:type="dxa"/>
            <w:vAlign w:val="bottom"/>
          </w:tcPr>
          <w:p>
            <w:pPr>
              <w:spacing w:after="0"/>
              <w:rPr>
                <w:sz w:val="11"/>
                <w:szCs w:val="11"/>
                <w:color w:val="auto"/>
              </w:rPr>
            </w:pPr>
          </w:p>
        </w:tc>
        <w:tc>
          <w:tcPr>
            <w:tcW w:w="8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jc w:val="right"/>
              <w:ind w:right="67"/>
              <w:spacing w:after="0" w:line="135" w:lineRule="exact"/>
              <w:rPr>
                <w:sz w:val="20"/>
                <w:szCs w:val="20"/>
                <w:color w:val="auto"/>
              </w:rPr>
            </w:pPr>
            <w:r>
              <w:rPr>
                <w:rFonts w:ascii="Times New Roman" w:cs="Times New Roman" w:eastAsia="Times New Roman" w:hAnsi="Times New Roman"/>
                <w:sz w:val="15"/>
                <w:szCs w:val="15"/>
                <w:color w:val="auto"/>
                <w:w w:val="79"/>
              </w:rPr>
              <w:t>)</w:t>
            </w:r>
          </w:p>
        </w:tc>
        <w:tc>
          <w:tcPr>
            <w:tcW w:w="1340" w:type="dxa"/>
            <w:vAlign w:val="bottom"/>
            <w:gridSpan w:val="2"/>
            <w:vMerge w:val="restart"/>
          </w:tcPr>
          <w:p>
            <w:pPr>
              <w:jc w:val="right"/>
              <w:ind w:right="220"/>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4"/>
        </w:trPr>
        <w:tc>
          <w:tcPr>
            <w:tcW w:w="46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gridSpan w:val="2"/>
          </w:tcPr>
          <w:p>
            <w:pPr>
              <w:jc w:val="right"/>
              <w:ind w:right="143"/>
              <w:spacing w:after="0" w:line="68" w:lineRule="exact"/>
              <w:rPr>
                <w:sz w:val="20"/>
                <w:szCs w:val="20"/>
                <w:color w:val="auto"/>
              </w:rPr>
            </w:pPr>
            <w:r>
              <w:rPr>
                <w:rFonts w:ascii="Times New Roman" w:cs="Times New Roman" w:eastAsia="Times New Roman" w:hAnsi="Times New Roman"/>
                <w:sz w:val="7"/>
                <w:szCs w:val="7"/>
                <w:color w:val="auto"/>
              </w:rPr>
              <w:t>(30</w:t>
            </w:r>
          </w:p>
        </w:tc>
        <w:tc>
          <w:tcPr>
            <w:tcW w:w="24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(18,459</w:t>
            </w:r>
          </w:p>
        </w:tc>
        <w:tc>
          <w:tcPr>
            <w:tcW w:w="220" w:type="dxa"/>
            <w:vAlign w:val="bottom"/>
            <w:tcBorders>
              <w:top w:val="single" w:sz="8" w:color="CCEEFF"/>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30,352</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3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2"/>
        </w:trPr>
        <w:tc>
          <w:tcPr>
            <w:tcW w:w="46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Other comprehensive income/(loss):</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 net of tax</w:t>
            </w:r>
          </w:p>
        </w:tc>
        <w:tc>
          <w:tcPr>
            <w:tcW w:w="1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8"/>
                <w:szCs w:val="18"/>
                <w:color w:val="auto"/>
              </w:rPr>
              <w:t>(77)</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(2,292)</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w:t>
            </w:r>
          </w:p>
        </w:tc>
        <w:tc>
          <w:tcPr>
            <w:tcW w:w="2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6"/>
        </w:trPr>
        <w:tc>
          <w:tcPr>
            <w:tcW w:w="46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260" w:type="dxa"/>
            <w:vAlign w:val="bottom"/>
            <w:tcBorders>
              <w:top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(18,536</w:t>
            </w:r>
          </w:p>
        </w:tc>
        <w:tc>
          <w:tcPr>
            <w:tcW w:w="220" w:type="dxa"/>
            <w:vAlign w:val="bottom"/>
            <w:tcBorders>
              <w:top w:val="single" w:sz="8" w:color="CCEEFF"/>
            </w:tcBorders>
          </w:tcPr>
          <w:p>
            <w:pPr>
              <w:jc w:val="right"/>
              <w:ind w:right="83"/>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(51,103</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35,267</w:t>
            </w:r>
          </w:p>
        </w:tc>
        <w:tc>
          <w:tcPr>
            <w:tcW w:w="200" w:type="dxa"/>
            <w:vAlign w:val="bottom"/>
            <w:tcBorders>
              <w:top w:val="single" w:sz="8" w:color="CCEEFF"/>
            </w:tcBorders>
          </w:tcPr>
          <w:p>
            <w:pPr>
              <w:spacing w:after="0"/>
              <w:rPr>
                <w:sz w:val="20"/>
                <w:szCs w:val="20"/>
                <w:color w:val="auto"/>
              </w:rPr>
            </w:pPr>
          </w:p>
        </w:tc>
        <w:tc>
          <w:tcPr>
            <w:tcW w:w="1340" w:type="dxa"/>
            <w:vAlign w:val="bottom"/>
            <w:tcBorders>
              <w:top w:val="single" w:sz="8" w:color="CCEEFF"/>
            </w:tcBorders>
            <w:gridSpan w:val="2"/>
          </w:tcPr>
          <w:p>
            <w:pPr>
              <w:jc w:val="right"/>
              <w:spacing w:after="0" w:line="230" w:lineRule="exact"/>
              <w:rPr>
                <w:sz w:val="20"/>
                <w:szCs w:val="20"/>
                <w:color w:val="auto"/>
              </w:rPr>
            </w:pPr>
            <w:r>
              <w:rPr>
                <w:rFonts w:ascii="Times New Roman" w:cs="Times New Roman" w:eastAsia="Times New Roman" w:hAnsi="Times New Roman"/>
                <w:sz w:val="15"/>
                <w:szCs w:val="15"/>
                <w:color w:val="auto"/>
              </w:rPr>
              <w:t>(64</w:t>
            </w:r>
            <w:r>
              <w:rPr>
                <w:rFonts w:ascii="Times New Roman" w:cs="Times New Roman" w:eastAsia="Times New Roman" w:hAnsi="Times New Roman"/>
                <w:sz w:val="26"/>
                <w:szCs w:val="26"/>
                <w:color w:val="auto"/>
                <w:vertAlign w:val="superscript"/>
              </w:rPr>
              <w:t>)%</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2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3"/>
        </w:trPr>
        <w:tc>
          <w:tcPr>
            <w:tcW w:w="46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Customers</w:t>
      </w:r>
    </w:p>
    <w:p>
      <w:pPr>
        <w:spacing w:after="0" w:line="228" w:lineRule="exact"/>
        <w:rPr>
          <w:sz w:val="20"/>
          <w:szCs w:val="20"/>
          <w:color w:val="auto"/>
        </w:rPr>
      </w:pPr>
    </w:p>
    <w:p>
      <w:pPr>
        <w:ind w:firstLine="646"/>
        <w:spacing w:after="0" w:line="265" w:lineRule="auto"/>
        <w:rPr>
          <w:sz w:val="20"/>
          <w:szCs w:val="20"/>
          <w:color w:val="auto"/>
        </w:rPr>
      </w:pPr>
      <w:r>
        <w:rPr>
          <w:rFonts w:ascii="Times New Roman" w:cs="Times New Roman" w:eastAsia="Times New Roman" w:hAnsi="Times New Roman"/>
          <w:sz w:val="18"/>
          <w:szCs w:val="18"/>
          <w:color w:val="auto"/>
        </w:rPr>
        <w:t>During the fiscal year ended June 30, 2024, we have generated revenue from clinic patients on rehabilitation services which reflects the consideration to which the Company expects to be entitled in exchange for those services. We have not generated any revenue from the sale of products. We do not expect to generate material revenues unless and until our drug candidates are approved.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8" w:lineRule="exact"/>
        <w:rPr>
          <w:sz w:val="20"/>
          <w:szCs w:val="20"/>
          <w:color w:val="auto"/>
        </w:rPr>
      </w:pPr>
    </w:p>
    <w:p>
      <w:pPr>
        <w:ind w:right="60" w:firstLine="646"/>
        <w:spacing w:after="0" w:line="281" w:lineRule="auto"/>
        <w:rPr>
          <w:sz w:val="20"/>
          <w:szCs w:val="20"/>
          <w:color w:val="auto"/>
        </w:rPr>
      </w:pPr>
      <w:r>
        <w:rPr>
          <w:rFonts w:ascii="Times New Roman" w:cs="Times New Roman" w:eastAsia="Times New Roman" w:hAnsi="Times New Roman"/>
          <w:sz w:val="18"/>
          <w:szCs w:val="18"/>
          <w:color w:val="auto"/>
        </w:rPr>
        <w:t>Our operating expenses consist of (i) R&amp;D expenses, (ii) acquisition of in-process research and development (“IPR&amp;D”) expense and (iii) general and administrative expenses.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R&amp;D Expenses</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R&amp;D expenses consist primarily of external and internal costs incurred in performing clinical and preclinical development activities.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R&amp;D expenses include:</w:t>
      </w:r>
    </w:p>
    <w:p>
      <w:pPr>
        <w:spacing w:after="0" w:line="224" w:lineRule="exact"/>
        <w:rPr>
          <w:sz w:val="20"/>
          <w:szCs w:val="20"/>
          <w:color w:val="auto"/>
        </w:rPr>
      </w:pPr>
    </w:p>
    <w:p>
      <w:pPr>
        <w:ind w:left="980" w:right="220" w:hanging="326"/>
        <w:spacing w:after="0" w:line="281"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costs incurred under agreements with CROs, contract manufacturers, consultants and other third parties to conduct and support our clinical trials and preclinical studies; and</w:t>
      </w:r>
    </w:p>
    <w:p>
      <w:pPr>
        <w:spacing w:after="0" w:line="161" w:lineRule="exact"/>
        <w:rPr>
          <w:rFonts w:ascii="Times New Roman" w:cs="Times New Roman" w:eastAsia="Times New Roman" w:hAnsi="Times New Roman"/>
          <w:sz w:val="18"/>
          <w:szCs w:val="18"/>
          <w:color w:val="auto"/>
        </w:rPr>
      </w:pPr>
    </w:p>
    <w:p>
      <w:pPr>
        <w:ind w:left="980" w:right="460" w:hanging="326"/>
        <w:spacing w:after="0" w:line="281" w:lineRule="auto"/>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costs, including R&amp;D personnel-related expenses such as salaries, and benefits, as well as allocated facilities costs and dues and subscriptions.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expense R&amp;D costs as incurred.</w:t>
      </w:r>
    </w:p>
    <w:p>
      <w:pPr>
        <w:spacing w:after="0" w:line="224" w:lineRule="exact"/>
        <w:rPr>
          <w:sz w:val="20"/>
          <w:szCs w:val="20"/>
          <w:color w:val="auto"/>
        </w:rPr>
      </w:pPr>
    </w:p>
    <w:p>
      <w:pPr>
        <w:jc w:val="both"/>
        <w:ind w:right="200" w:firstLine="646"/>
        <w:spacing w:after="0" w:line="265" w:lineRule="auto"/>
        <w:rPr>
          <w:sz w:val="20"/>
          <w:szCs w:val="20"/>
          <w:color w:val="auto"/>
        </w:rPr>
      </w:pPr>
      <w:r>
        <w:rPr>
          <w:rFonts w:ascii="Times New Roman" w:cs="Times New Roman" w:eastAsia="Times New Roman" w:hAnsi="Times New Roman"/>
          <w:sz w:val="18"/>
          <w:szCs w:val="18"/>
          <w:color w:val="auto"/>
        </w:rPr>
        <w:t>R&amp;D expenses increased by $6.6 million for the fiscal year ended June 30, 2024 compared to the fiscal year ended June 30, 2023. The increase was primarily due to the commencement of a BA/BE clinical trial investigating IHL-42X in healthy volunteers, a Phase 2 clinical trial investigating IHL-675A in patients with rheumatoid arthritis, and a Phase 2/3 clinical trial investigating IHL-42X in patients with obstructive sleep apnea.</w:t>
      </w:r>
    </w:p>
    <w:p>
      <w:pPr>
        <w:spacing w:after="0" w:line="176" w:lineRule="exact"/>
        <w:rPr>
          <w:sz w:val="20"/>
          <w:szCs w:val="20"/>
          <w:color w:val="auto"/>
        </w:rPr>
      </w:pPr>
    </w:p>
    <w:p>
      <w:pPr>
        <w:ind w:firstLine="646"/>
        <w:spacing w:after="0" w:line="253" w:lineRule="auto"/>
        <w:rPr>
          <w:sz w:val="20"/>
          <w:szCs w:val="20"/>
          <w:color w:val="auto"/>
        </w:rPr>
      </w:pPr>
      <w:r>
        <w:rPr>
          <w:rFonts w:ascii="Times New Roman" w:cs="Times New Roman" w:eastAsia="Times New Roman" w:hAnsi="Times New Roman"/>
          <w:sz w:val="18"/>
          <w:szCs w:val="18"/>
          <w:color w:val="auto"/>
        </w:rPr>
        <w:t>Although R&amp;D activities are central to our business model, the successful development of our drug candidates is highly uncertain. There are numerous factors associated with the successful development of our drug candidates, including future trial design and various regulatory requirements, many of which cannot be determined with accuracy at this time based on our stage of development. In addition, future regulatory factors beyond our control may impact our clinical development programs. Drug candidates in later stages of clinical development generally have higher development costs than those in earlier stages of clinical development, primarily due to the increased size and duration of later stage clinical trials. As a result, we expect our R&amp;D expenses will increase substantially in connection with our ongoing and planned clinical and preclinical development activities in the near term and in the future to the extent our development activities are successful. At this time, we cannot accurately estimate or know the nature, timing and costs of the efforts that will be necessary to complete the preclinical and clinical development of our drug candidates. Our R&amp;D expenses have varied, and our future R&amp;D expenses may vary, significantly based on a wide variety of factors such as:</w:t>
      </w:r>
    </w:p>
    <w:p>
      <w:pPr>
        <w:spacing w:after="0" w:line="191" w:lineRule="exact"/>
        <w:rPr>
          <w:sz w:val="20"/>
          <w:szCs w:val="20"/>
          <w:color w:val="auto"/>
        </w:rPr>
      </w:pPr>
    </w:p>
    <w:p>
      <w:pPr>
        <w:ind w:left="980" w:right="20" w:hanging="326"/>
        <w:spacing w:after="0" w:line="281" w:lineRule="auto"/>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rate of progress, expense and results of our clinical trials and preclinical studies, including any modifications to clinical development plans based on feedback that we may receive from regulatory authorities;</w:t>
      </w:r>
    </w:p>
    <w:p>
      <w:pPr>
        <w:spacing w:after="0" w:line="161"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patient trial costs;</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trials required for approval;</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sites included in the trials;</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countries in which the trials are conducted;</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required to enroll eligible patients;</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that participate in the trials;</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doses that patients receive;</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86" w:name="page87"/>
    <w:bookmarkEnd w:id="86"/>
    <w:p>
      <w:pPr>
        <w:ind w:left="980" w:hanging="326"/>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drop-out or discontinuation rates of patients;</w:t>
      </w:r>
    </w:p>
    <w:p>
      <w:pPr>
        <w:spacing w:after="0" w:line="224"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additional safety monitoring requested by regulatory agencies;</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patient participation in the trials and follow-up;</w:t>
      </w:r>
    </w:p>
    <w:p>
      <w:pPr>
        <w:spacing w:after="0" w:line="224"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manufacturing of our drug candidates;</w:t>
      </w:r>
    </w:p>
    <w:p>
      <w:pPr>
        <w:spacing w:after="0" w:line="224"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if any, of obtaining third-party drugs for use in our combination trials;</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changes in government regulation and regulatory guidance;</w:t>
      </w:r>
    </w:p>
    <w:p>
      <w:pPr>
        <w:spacing w:after="0" w:line="224"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profile of our drug candidates;</w:t>
      </w:r>
    </w:p>
    <w:p>
      <w:pPr>
        <w:spacing w:after="0" w:line="224"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terms of any approvals from applicable regulatory authorities; and</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establish additional collaboration, license, or other arrangements.</w:t>
      </w:r>
    </w:p>
    <w:p>
      <w:pPr>
        <w:spacing w:after="0" w:line="224" w:lineRule="exact"/>
        <w:rPr>
          <w:sz w:val="20"/>
          <w:szCs w:val="20"/>
          <w:color w:val="auto"/>
        </w:rPr>
      </w:pPr>
    </w:p>
    <w:p>
      <w:pPr>
        <w:ind w:right="80" w:firstLine="646"/>
        <w:spacing w:after="0" w:line="281"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our drug candidates could significantly change the costs and timing associated with the development of that drug candidate. We may never succeed in obtaining regulatory approval for any drug candidate.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Acquisition of IPR&amp;D</w:t>
      </w:r>
    </w:p>
    <w:p>
      <w:pPr>
        <w:spacing w:after="0" w:line="226" w:lineRule="exact"/>
        <w:rPr>
          <w:sz w:val="20"/>
          <w:szCs w:val="20"/>
          <w:color w:val="auto"/>
        </w:rPr>
      </w:pPr>
    </w:p>
    <w:p>
      <w:pPr>
        <w:ind w:right="40" w:firstLine="646"/>
        <w:spacing w:after="0" w:line="257" w:lineRule="auto"/>
        <w:rPr>
          <w:sz w:val="20"/>
          <w:szCs w:val="20"/>
          <w:color w:val="auto"/>
        </w:rPr>
      </w:pPr>
      <w:r>
        <w:rPr>
          <w:rFonts w:ascii="Times New Roman" w:cs="Times New Roman" w:eastAsia="Times New Roman" w:hAnsi="Times New Roman"/>
          <w:sz w:val="18"/>
          <w:szCs w:val="18"/>
          <w:color w:val="auto"/>
        </w:rPr>
        <w:t>Acquisition of IPR&amp;D expense was recorded in the fiscal year ended June 30, 2023, in connection with the acquisition of APIRx in August 2022. We concluded that the acquisition of APIRx did not meet the definition of business under Accounting Standards Codification (“ASC”) 805, Business Combinations as APIRx did not have outputs present and a substantive process was not acquired and recorded the transaction as an asset acquisition as a result. We determined that drug candidates pertaining to APIRx had no alternative future use at the time of acquisition and charged $35.3 million, including transaction costs of $2.43 million, to the acquisition of IPR&amp;D expense as of the date of acquisition.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6" w:lineRule="exact"/>
        <w:rPr>
          <w:sz w:val="20"/>
          <w:szCs w:val="20"/>
          <w:color w:val="auto"/>
        </w:rPr>
      </w:pPr>
    </w:p>
    <w:p>
      <w:pPr>
        <w:ind w:right="280" w:firstLine="646"/>
        <w:spacing w:after="0" w:line="260"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expenses finance and accounting, human resources and other administrative functions, including salaries, stock-based compensation and benefits for employees, legal fees, expenses relating to patent and corporate matters and professional fees paid for accounting, auditing, consulting and tax services, as well as facilities-related costs not otherwise included in R&amp;D expenses and other costs such as insurance costs and travel expenses.</w:t>
      </w:r>
    </w:p>
    <w:p>
      <w:pPr>
        <w:spacing w:after="0" w:line="181" w:lineRule="exact"/>
        <w:rPr>
          <w:sz w:val="20"/>
          <w:szCs w:val="20"/>
          <w:color w:val="auto"/>
        </w:rPr>
      </w:pPr>
    </w:p>
    <w:p>
      <w:pPr>
        <w:ind w:right="40" w:firstLine="646"/>
        <w:spacing w:after="0" w:line="257" w:lineRule="auto"/>
        <w:rPr>
          <w:sz w:val="20"/>
          <w:szCs w:val="20"/>
          <w:color w:val="auto"/>
        </w:rPr>
      </w:pPr>
      <w:r>
        <w:rPr>
          <w:rFonts w:ascii="Times New Roman" w:cs="Times New Roman" w:eastAsia="Times New Roman" w:hAnsi="Times New Roman"/>
          <w:sz w:val="18"/>
          <w:szCs w:val="18"/>
          <w:color w:val="auto"/>
        </w:rPr>
        <w:t>General and administrative expenses increased by $9.2 million for the fiscal year ended June 30, 2024 compared to the fiscal year ended June 30, 2023. The increase was due to increases of $6.8 million (from $2.1 million to $8.9 million) in salaries, equity compensation and benefits for employees and directors, $1.3 million (from $1.8 million to $3.1 million) in compliance, legal and regulatory expenses primarily as a result our reporting obligations following our re-domiciliation, $0.2 million in occupancy expenses, and $0.5 million in other administration expenses, partially offset by a decrease in advertising and investor relations related expenses of $0.1 million.</w:t>
      </w:r>
    </w:p>
    <w:p>
      <w:pPr>
        <w:spacing w:after="0" w:line="185" w:lineRule="exact"/>
        <w:rPr>
          <w:sz w:val="20"/>
          <w:szCs w:val="20"/>
          <w:color w:val="auto"/>
        </w:rPr>
      </w:pPr>
    </w:p>
    <w:p>
      <w:pPr>
        <w:jc w:val="both"/>
        <w:ind w:right="200" w:firstLine="646"/>
        <w:spacing w:after="0" w:line="260" w:lineRule="auto"/>
        <w:rPr>
          <w:sz w:val="20"/>
          <w:szCs w:val="20"/>
          <w:color w:val="auto"/>
        </w:rPr>
      </w:pPr>
      <w:r>
        <w:rPr>
          <w:rFonts w:ascii="Times New Roman" w:cs="Times New Roman" w:eastAsia="Times New Roman" w:hAnsi="Times New Roman"/>
          <w:sz w:val="18"/>
          <w:szCs w:val="18"/>
          <w:color w:val="auto"/>
        </w:rPr>
        <w:t>We anticipate our general and administrative expenses will increase substantially in the future as we expand our operations, including increasing our headcount to support our continued R&amp;D activities and preparing for potential commercialization of our drug candidates. We also anticipate we will incur increased accounting, audit, legal, regulatory, compliance, director and officer insurance, and investor and public relations expenses associated with operating as a U.S. public company.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 from R&amp;D Tax Credit</w:t>
      </w:r>
    </w:p>
    <w:p>
      <w:pPr>
        <w:spacing w:after="0" w:line="226" w:lineRule="exact"/>
        <w:rPr>
          <w:sz w:val="20"/>
          <w:szCs w:val="20"/>
          <w:color w:val="auto"/>
        </w:rPr>
      </w:pPr>
    </w:p>
    <w:p>
      <w:pPr>
        <w:ind w:firstLine="646"/>
        <w:spacing w:after="0" w:line="257" w:lineRule="auto"/>
        <w:rPr>
          <w:sz w:val="20"/>
          <w:szCs w:val="20"/>
          <w:color w:val="auto"/>
        </w:rPr>
      </w:pPr>
      <w:r>
        <w:rPr>
          <w:rFonts w:ascii="Times New Roman" w:cs="Times New Roman" w:eastAsia="Times New Roman" w:hAnsi="Times New Roman"/>
          <w:sz w:val="18"/>
          <w:szCs w:val="18"/>
          <w:color w:val="auto"/>
        </w:rPr>
        <w:t>We receive tax incentives from the Australian government for R&amp;D activities. Subject to certain exclusions, the Australian Government tax incentives provide benefits for eligible R&amp;D activities. Entities are entitled to either (i) a 48.5% refundable tax offset for eligible companies with an aggregated turnover of less than A$20 million per annum or (ii) a non-refundable 38.5% tax offset for all other eligible companies. Our aggregated turnover is less than A$20 million and not be controlled by one or more income tax exempt entities, we anticipate being entitled to a claim of 48.5% refundable tax offset for costs relating to eligible R&amp;D activities during the year.</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87" w:name="page88"/>
    <w:bookmarkEnd w:id="87"/>
    <w:p>
      <w:pPr>
        <w:ind w:right="20" w:firstLine="646"/>
        <w:spacing w:after="0" w:line="265" w:lineRule="auto"/>
        <w:rPr>
          <w:sz w:val="20"/>
          <w:szCs w:val="20"/>
          <w:color w:val="auto"/>
        </w:rPr>
      </w:pPr>
      <w:r>
        <w:rPr>
          <w:rFonts w:ascii="Times New Roman" w:cs="Times New Roman" w:eastAsia="Times New Roman" w:hAnsi="Times New Roman"/>
          <w:sz w:val="18"/>
          <w:szCs w:val="18"/>
          <w:color w:val="auto"/>
        </w:rPr>
        <w:t>Benefit from R&amp;D tax credit increased by $10.8 million (from $0.7 million to $11.4 million) for the fiscal year ended June 30, 2024 compared to the fiscal year ended June 30, 2023. The increase was due to an increase in the R&amp;D tax credit received from the Australian Taxation Office of $2.6 million for our research and clinical trials activities in Australia following finalization of the fiscal 2023 Australian tax return.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Losses and Interest Income</w:t>
      </w:r>
    </w:p>
    <w:p>
      <w:pPr>
        <w:spacing w:after="0" w:line="226" w:lineRule="exact"/>
        <w:rPr>
          <w:sz w:val="20"/>
          <w:szCs w:val="20"/>
          <w:color w:val="auto"/>
        </w:rPr>
      </w:pPr>
    </w:p>
    <w:p>
      <w:pPr>
        <w:jc w:val="both"/>
        <w:ind w:right="80" w:firstLine="646"/>
        <w:spacing w:after="0" w:line="265" w:lineRule="auto"/>
        <w:rPr>
          <w:sz w:val="20"/>
          <w:szCs w:val="20"/>
          <w:color w:val="auto"/>
        </w:rPr>
      </w:pPr>
      <w:r>
        <w:rPr>
          <w:rFonts w:ascii="Times New Roman" w:cs="Times New Roman" w:eastAsia="Times New Roman" w:hAnsi="Times New Roman"/>
          <w:sz w:val="18"/>
          <w:szCs w:val="18"/>
          <w:color w:val="auto"/>
        </w:rPr>
        <w:t>Foreign exchange losses decreased by $39,000 for the fiscal year ended June 30, 2024 2024 compared to the fiscal year ended June 30, 2023, due to favorable currency exchange rates, and interest income received from cash deposited in our bank accounts decreased by $35,000 during the same period as a result of a decrease in the cash deposited.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Currency Translation Adjustment Losses</w:t>
      </w:r>
    </w:p>
    <w:p>
      <w:pPr>
        <w:spacing w:after="0" w:line="226" w:lineRule="exact"/>
        <w:rPr>
          <w:sz w:val="20"/>
          <w:szCs w:val="20"/>
          <w:color w:val="auto"/>
        </w:rPr>
      </w:pPr>
    </w:p>
    <w:p>
      <w:pPr>
        <w:ind w:right="20" w:firstLine="646"/>
        <w:spacing w:after="0" w:line="257" w:lineRule="auto"/>
        <w:rPr>
          <w:sz w:val="20"/>
          <w:szCs w:val="20"/>
          <w:color w:val="auto"/>
        </w:rPr>
      </w:pPr>
      <w:r>
        <w:rPr>
          <w:rFonts w:ascii="Times New Roman" w:cs="Times New Roman" w:eastAsia="Times New Roman" w:hAnsi="Times New Roman"/>
          <w:sz w:val="18"/>
          <w:szCs w:val="18"/>
          <w:color w:val="auto"/>
        </w:rPr>
        <w:t>Currency translation adjustment, net of tax decreased by $2.2 million for the fiscal year ended June 30, 2024 compared to the fiscal year ended June 30, 2023. The increase was due to currency translation of the financial statements from the Australian dollar to the US dollar. We maintain our consolidated financial statements in Australian dollar, which is our functional currency. However, our financial statements are translated into US dollars for reporting purposes. See Note 2 to our financial statements included in this Annual Report for further information, under the heading “Foreign Currency Translation.”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8" w:lineRule="exact"/>
        <w:rPr>
          <w:sz w:val="20"/>
          <w:szCs w:val="20"/>
          <w:color w:val="auto"/>
        </w:rPr>
      </w:pPr>
    </w:p>
    <w:p>
      <w:pPr>
        <w:ind w:right="100" w:firstLine="646"/>
        <w:spacing w:after="0" w:line="265" w:lineRule="auto"/>
        <w:rPr>
          <w:sz w:val="20"/>
          <w:szCs w:val="20"/>
          <w:color w:val="auto"/>
        </w:rPr>
      </w:pPr>
      <w:r>
        <w:rPr>
          <w:rFonts w:ascii="Times New Roman" w:cs="Times New Roman" w:eastAsia="Times New Roman" w:hAnsi="Times New Roman"/>
          <w:sz w:val="18"/>
          <w:szCs w:val="18"/>
          <w:color w:val="auto"/>
        </w:rPr>
        <w:t>We have incurred net losses since inception and expect to incur substantial and increasing losses in the future as we expand our R&amp;D activities in an effort to move our drug candidates into later stages of development. Historically, we have funded our operations primarily through the sale of equity securities, proceeds from the exercise of options, tax grants from R&amp;D activities and interest income.</w:t>
      </w:r>
    </w:p>
    <w:p>
      <w:pPr>
        <w:spacing w:after="0" w:line="176" w:lineRule="exact"/>
        <w:rPr>
          <w:sz w:val="20"/>
          <w:szCs w:val="20"/>
          <w:color w:val="auto"/>
        </w:rPr>
      </w:pPr>
    </w:p>
    <w:p>
      <w:pPr>
        <w:ind w:right="40" w:firstLine="646"/>
        <w:spacing w:after="0" w:line="260" w:lineRule="auto"/>
        <w:rPr>
          <w:sz w:val="20"/>
          <w:szCs w:val="20"/>
          <w:color w:val="auto"/>
        </w:rPr>
      </w:pPr>
      <w:r>
        <w:rPr>
          <w:rFonts w:ascii="Times New Roman" w:cs="Times New Roman" w:eastAsia="Times New Roman" w:hAnsi="Times New Roman"/>
          <w:sz w:val="18"/>
          <w:szCs w:val="18"/>
          <w:color w:val="auto"/>
        </w:rPr>
        <w:t>We incurred total comprehensive losses of $18.5 million and $48.8 million for the fiscal years ended June 30, 2024 and 2023, respectively. We incurred net losses of $18.5 million and $48.8 million for the fiscal years ended June 30, 2024 and 2023, respectively. The decrease in net loss is primarily attributable to a $35.3 million decrease in acquisition of IPR&amp;D expense related to the acquisition of APIRx during the fiscal year ended June 30, 2023. As of June 30, 2024, we had accumulated comprehensive losses of $110.7 million.</w:t>
      </w:r>
    </w:p>
    <w:p>
      <w:pPr>
        <w:spacing w:after="0" w:line="181" w:lineRule="exact"/>
        <w:rPr>
          <w:sz w:val="20"/>
          <w:szCs w:val="20"/>
          <w:color w:val="auto"/>
        </w:rPr>
      </w:pPr>
    </w:p>
    <w:p>
      <w:pPr>
        <w:ind w:right="120" w:firstLine="646"/>
        <w:spacing w:after="0" w:line="260" w:lineRule="auto"/>
        <w:rPr>
          <w:sz w:val="20"/>
          <w:szCs w:val="20"/>
          <w:color w:val="auto"/>
        </w:rPr>
      </w:pPr>
      <w:r>
        <w:rPr>
          <w:rFonts w:ascii="Times New Roman" w:cs="Times New Roman" w:eastAsia="Times New Roman" w:hAnsi="Times New Roman"/>
          <w:sz w:val="18"/>
          <w:szCs w:val="18"/>
          <w:color w:val="auto"/>
        </w:rPr>
        <w:t>As of June 30, 2024, we had cash and cash equivalents of $5.9 million. We expect our negative cash flows from operating activities to continue and thus have determined that the losses and negative cash flows from operations and uncertainty in generating sufficient cash to meet our obligations and sustain our operations raise substantial doubt about our ability to continue as a going concern for at least one year from the issuance date of the financial statements in this Annual Report.</w:t>
      </w:r>
    </w:p>
    <w:p>
      <w:pPr>
        <w:spacing w:after="0" w:line="181" w:lineRule="exact"/>
        <w:rPr>
          <w:sz w:val="20"/>
          <w:szCs w:val="20"/>
          <w:color w:val="auto"/>
        </w:rPr>
      </w:pPr>
    </w:p>
    <w:p>
      <w:pPr>
        <w:ind w:right="200" w:firstLine="637"/>
        <w:spacing w:after="0" w:line="280" w:lineRule="auto"/>
        <w:rPr>
          <w:sz w:val="20"/>
          <w:szCs w:val="20"/>
          <w:color w:val="auto"/>
        </w:rPr>
      </w:pPr>
      <w:r>
        <w:rPr>
          <w:rFonts w:ascii="Times New Roman" w:cs="Times New Roman" w:eastAsia="Times New Roman" w:hAnsi="Times New Roman"/>
          <w:sz w:val="17"/>
          <w:szCs w:val="17"/>
          <w:color w:val="auto"/>
        </w:rPr>
        <w:t>For the fiscal year ended June 30, 2024, we experienced net cash outflows from operating activities of $15.8 million, an increase of $5.1 million compared to the fiscal year ended June 30, 2023. As of June 30, 2024, we had cash and cash equivalents of $5.6 million, a decrease of $16.5 million compared to our cash and cash equivalents as of June 30, 2023 of $22.1 million. As of June 30, 2024, our current assets exceed our current liabilities by $10.6 million, a $9.8 million decrease compared to the difference between our current assets and current liabilities as of June 30, 2023 of $20.4 million.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226" w:lineRule="exact"/>
        <w:rPr>
          <w:sz w:val="20"/>
          <w:szCs w:val="20"/>
          <w:color w:val="auto"/>
        </w:rPr>
      </w:pPr>
    </w:p>
    <w:p>
      <w:pPr>
        <w:ind w:firstLine="646"/>
        <w:spacing w:after="0" w:line="253" w:lineRule="auto"/>
        <w:rPr>
          <w:sz w:val="20"/>
          <w:szCs w:val="20"/>
          <w:color w:val="auto"/>
        </w:rPr>
      </w:pPr>
      <w:r>
        <w:rPr>
          <w:rFonts w:ascii="Times New Roman" w:cs="Times New Roman" w:eastAsia="Times New Roman" w:hAnsi="Times New Roman"/>
          <w:sz w:val="18"/>
          <w:szCs w:val="18"/>
          <w:color w:val="auto"/>
        </w:rPr>
        <w:t xml:space="preserve">We believe there is substantial doubt about our ability to obtain additional capital when and as needed to continue as a going concern as of the date of this Annual Report. We have not yet established an ongoing source of revenue sufficient to cover our operating and capital expenditure requirements and to cover any potential payments that may become due and payable pursuant to any debentures to provide sufficient certainty that we will continue as a going concern. Historically, we have financed our operations to date primarily through partnerships, funds received from public offerings of common stock, a debt financing facility, as well as funding from governmental bodies. We plan to address this condition through the sale of common stock in public offerings and/or private placements, debt financings, or through other capital sources, including collaborations with other companies or other strategic transactions, but there is no assurance these plans will be completed successfully or at all. Pursuant to the requirements of ASC 205-40, </w:t>
      </w:r>
      <w:r>
        <w:rPr>
          <w:rFonts w:ascii="Times New Roman" w:cs="Times New Roman" w:eastAsia="Times New Roman" w:hAnsi="Times New Roman"/>
          <w:sz w:val="18"/>
          <w:szCs w:val="18"/>
          <w:i w:val="1"/>
          <w:iCs w:val="1"/>
          <w:color w:val="auto"/>
        </w:rPr>
        <w:t>Presentation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Statements - Going Concern</w:t>
      </w:r>
      <w:r>
        <w:rPr>
          <w:rFonts w:ascii="Times New Roman" w:cs="Times New Roman" w:eastAsia="Times New Roman" w:hAnsi="Times New Roman"/>
          <w:sz w:val="18"/>
          <w:szCs w:val="18"/>
          <w:color w:val="auto"/>
        </w:rPr>
        <w:t>, and as a result of our financial condition and other factors described herein, there is substantial doubt about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ability to continue as a going concern for a period of at least twelve months from the date of the financial statements.</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00"/>
          </w:cols>
          <w:pgMar w:left="320" w:top="875" w:right="379" w:bottom="1440" w:gutter="0" w:footer="0" w:header="0"/>
        </w:sectPr>
      </w:pPr>
    </w:p>
    <w:bookmarkStart w:id="88" w:name="page89"/>
    <w:bookmarkEnd w:id="88"/>
    <w:p>
      <w:pPr>
        <w:ind w:firstLine="646"/>
        <w:spacing w:after="0" w:line="256" w:lineRule="auto"/>
        <w:rPr>
          <w:sz w:val="20"/>
          <w:szCs w:val="20"/>
          <w:color w:val="auto"/>
        </w:rPr>
      </w:pPr>
      <w:r>
        <w:rPr>
          <w:rFonts w:ascii="Times New Roman" w:cs="Times New Roman" w:eastAsia="Times New Roman" w:hAnsi="Times New Roman"/>
          <w:sz w:val="18"/>
          <w:szCs w:val="18"/>
          <w:color w:val="auto"/>
        </w:rPr>
        <w:t>Based on our unrestricted cash and cash equivalents as of June 30, 2024, we anticipate that we will be able to fund our planned operating expenses and capital expenditure requirements into December 2024. We believe that our current cash and cash equivalents and anticipated cash flows from the financing activities contemplated by the September 2024 Purchase Agreement and the ELOC Agreement would be sufficient to meet our anticipated working capital requirements and capital expenditures in the ordinary course of business until August 2025. However, there can be no assurance that we will continue to comply with the terms of these agreements or that these issuances will occur. We have based these estimates on assumptions that may prove to be wrong, and we could use our capital resources sooner than we currently expect.</w:t>
      </w:r>
    </w:p>
    <w:p>
      <w:pPr>
        <w:spacing w:after="0" w:line="184" w:lineRule="exact"/>
        <w:rPr>
          <w:sz w:val="20"/>
          <w:szCs w:val="20"/>
          <w:color w:val="auto"/>
        </w:rPr>
      </w:pPr>
    </w:p>
    <w:p>
      <w:pPr>
        <w:ind w:right="120" w:firstLine="646"/>
        <w:spacing w:after="0" w:line="257" w:lineRule="auto"/>
        <w:rPr>
          <w:sz w:val="20"/>
          <w:szCs w:val="20"/>
          <w:color w:val="auto"/>
        </w:rPr>
      </w:pPr>
      <w:r>
        <w:rPr>
          <w:rFonts w:ascii="Times New Roman" w:cs="Times New Roman" w:eastAsia="Times New Roman" w:hAnsi="Times New Roman"/>
          <w:sz w:val="18"/>
          <w:szCs w:val="18"/>
          <w:color w:val="auto"/>
        </w:rPr>
        <w:t>Our independent auditor also included in its audit report, which is part of this Annual Report, a going concern opinion raising substantial doubt about our ability to continue as a going concern. This substantial doubt as to our ability to continue as a going concern may adversely impact our ability to obtain any additional financing we may need to continue our business operations, and may materially and adversely affect our ability to enter into contractual relations with third parties. Uncertainty about our ability to continue as a going concern could materially and adversely affect our liquidity, financial condition and business prospects.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8" w:lineRule="exact"/>
        <w:rPr>
          <w:sz w:val="20"/>
          <w:szCs w:val="20"/>
          <w:color w:val="auto"/>
        </w:rPr>
      </w:pPr>
    </w:p>
    <w:p>
      <w:pPr>
        <w:ind w:right="480" w:firstLine="646"/>
        <w:spacing w:after="0" w:line="281" w:lineRule="auto"/>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off-balance sheet arrangements, as defined in the rules and regulations of the SEC.</w:t>
      </w:r>
    </w:p>
    <w:p>
      <w:pPr>
        <w:sectPr>
          <w:pgSz w:w="11900" w:h="16838" w:orient="portrait"/>
          <w:cols w:equalWidth="0" w:num="1">
            <w:col w:w="11220"/>
          </w:cols>
          <w:pgMar w:left="320" w:top="875" w:right="35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cash flows for the fiscal year ended June 30, 2024, with June 30, 2023</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955" cy="145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955"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955" cy="15367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(decrease)/increase in cash, cash equivalents and restricted cash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Year Ended June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7"/>
        </w:trPr>
        <w:tc>
          <w:tcPr>
            <w:tcW w:w="20" w:type="dxa"/>
            <w:vAlign w:val="bottom"/>
          </w:tcPr>
          <w:p>
            <w:pPr>
              <w:spacing w:after="0"/>
              <w:rPr>
                <w:sz w:val="17"/>
                <w:szCs w:val="17"/>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(15,845)</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(10,749)</w:t>
            </w:r>
          </w:p>
        </w:tc>
        <w:tc>
          <w:tcPr>
            <w:tcW w:w="60" w:type="dxa"/>
            <w:vAlign w:val="bottom"/>
            <w:gridSpan w:val="2"/>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(277)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41"/>
        </w:trPr>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8,175</w:t>
            </w:r>
          </w:p>
        </w:tc>
        <w:tc>
          <w:tcPr>
            <w:tcW w:w="40" w:type="dxa"/>
            <w:vAlign w:val="bottom"/>
          </w:tcPr>
          <w:p>
            <w:pPr>
              <w:spacing w:after="0"/>
              <w:rPr>
                <w:sz w:val="20"/>
                <w:szCs w:val="20"/>
                <w:color w:val="auto"/>
              </w:rPr>
            </w:pPr>
          </w:p>
        </w:tc>
      </w:tr>
      <w:tr>
        <w:trPr>
          <w:trHeight w:val="249"/>
        </w:trPr>
        <w:tc>
          <w:tcPr>
            <w:tcW w:w="2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gridSpan w:val="2"/>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(2,890</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5" w:lineRule="exact"/>
        <w:rPr>
          <w:sz w:val="20"/>
          <w:szCs w:val="20"/>
          <w:color w:val="auto"/>
        </w:rPr>
      </w:pPr>
    </w:p>
    <w:p>
      <w:pPr>
        <w:sectPr>
          <w:pgSz w:w="11900" w:h="16838" w:orient="portrait"/>
          <w:cols w:equalWidth="0" w:num="2">
            <w:col w:w="7940" w:space="720"/>
            <w:col w:w="2560"/>
          </w:cols>
          <w:pgMar w:left="320" w:top="875" w:right="35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i w:val="1"/>
          <w:iCs w:val="1"/>
          <w:color w:val="auto"/>
        </w:rPr>
        <w:t>Net cash flows from operating activities</w:t>
      </w:r>
    </w:p>
    <w:p>
      <w:pPr>
        <w:spacing w:after="0" w:line="226" w:lineRule="exact"/>
        <w:rPr>
          <w:sz w:val="20"/>
          <w:szCs w:val="20"/>
          <w:color w:val="auto"/>
        </w:rPr>
      </w:pPr>
    </w:p>
    <w:p>
      <w:pPr>
        <w:jc w:val="both"/>
        <w:ind w:right="180" w:firstLine="646"/>
        <w:spacing w:after="0" w:line="265" w:lineRule="auto"/>
        <w:rPr>
          <w:sz w:val="20"/>
          <w:szCs w:val="20"/>
          <w:color w:val="auto"/>
        </w:rPr>
      </w:pPr>
      <w:r>
        <w:rPr>
          <w:rFonts w:ascii="Times New Roman" w:cs="Times New Roman" w:eastAsia="Times New Roman" w:hAnsi="Times New Roman"/>
          <w:sz w:val="18"/>
          <w:szCs w:val="18"/>
          <w:color w:val="auto"/>
        </w:rPr>
        <w:t>Net cash used in operating activities increased by $5.1 million in the fiscal year ended June 30, 2024 compared to the fiscal year ended June 30, 2023. The increase was due to an increase in cash used to conduct our R&amp;D activities of $6.6 million (from $6.3 million to $12.9 million), partially offset by an increase in R&amp;D tax incentive received (from $0.7 million to $2.6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flows from investing activities</w:t>
      </w:r>
    </w:p>
    <w:p>
      <w:pPr>
        <w:spacing w:after="0" w:line="226" w:lineRule="exact"/>
        <w:rPr>
          <w:sz w:val="20"/>
          <w:szCs w:val="20"/>
          <w:color w:val="auto"/>
        </w:rPr>
      </w:pPr>
    </w:p>
    <w:p>
      <w:pPr>
        <w:ind w:firstLine="646"/>
        <w:spacing w:after="0" w:line="281" w:lineRule="auto"/>
        <w:rPr>
          <w:sz w:val="20"/>
          <w:szCs w:val="20"/>
          <w:color w:val="auto"/>
        </w:rPr>
      </w:pPr>
      <w:r>
        <w:rPr>
          <w:rFonts w:ascii="Times New Roman" w:cs="Times New Roman" w:eastAsia="Times New Roman" w:hAnsi="Times New Roman"/>
          <w:sz w:val="18"/>
          <w:szCs w:val="18"/>
          <w:color w:val="auto"/>
        </w:rPr>
        <w:t>Net cash used in investing activities decreased by $39,000 in the fiscal year ended June 30, 2024 compared to fiscal 2023. The decrease was due to less spending on property, plant and equipment.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6" w:lineRule="exact"/>
        <w:rPr>
          <w:sz w:val="20"/>
          <w:szCs w:val="20"/>
          <w:color w:val="auto"/>
        </w:rPr>
      </w:pPr>
    </w:p>
    <w:p>
      <w:pPr>
        <w:ind w:right="120" w:firstLine="646"/>
        <w:spacing w:after="0" w:line="281" w:lineRule="auto"/>
        <w:rPr>
          <w:sz w:val="20"/>
          <w:szCs w:val="20"/>
          <w:color w:val="auto"/>
        </w:rPr>
      </w:pPr>
      <w:r>
        <w:rPr>
          <w:rFonts w:ascii="Times New Roman" w:cs="Times New Roman" w:eastAsia="Times New Roman" w:hAnsi="Times New Roman"/>
          <w:sz w:val="18"/>
          <w:szCs w:val="18"/>
          <w:color w:val="auto"/>
        </w:rPr>
        <w:t>Cash provided by financing activities decreased by $8.2 million in the fiscal year ended June 30, 2024 compared to the fiscal year ended June 30, 2023. The decrease was due to no issuances of shares of common stock during the fiscal year ended June 30,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8" w:lineRule="exact"/>
        <w:rPr>
          <w:sz w:val="20"/>
          <w:szCs w:val="20"/>
          <w:color w:val="auto"/>
        </w:rPr>
      </w:pPr>
    </w:p>
    <w:p>
      <w:pPr>
        <w:ind w:firstLine="646"/>
        <w:spacing w:after="0" w:line="256" w:lineRule="auto"/>
        <w:rPr>
          <w:sz w:val="20"/>
          <w:szCs w:val="20"/>
          <w:color w:val="auto"/>
        </w:rPr>
      </w:pPr>
      <w:r>
        <w:rPr>
          <w:rFonts w:ascii="Times New Roman" w:cs="Times New Roman" w:eastAsia="Times New Roman" w:hAnsi="Times New Roman"/>
          <w:sz w:val="18"/>
          <w:szCs w:val="18"/>
          <w:color w:val="auto"/>
        </w:rPr>
        <w:t>Our financial statements are prepared in accordance with generally accepted accounting principles in the United States. The preparation of our financial statements and related disclosures requires us to make estimates and judgments that affect the reported amounts of assets, liabilities, costs and expenses, and the disclosure of contingent assets and liabilities in our financial statements. We base our estimates on historical experience, known trends and events, and various other factors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type w:val="continuous"/>
        </w:sectPr>
      </w:pPr>
    </w:p>
    <w:bookmarkStart w:id="89" w:name="page90"/>
    <w:bookmarkEnd w:id="89"/>
    <w:p>
      <w:pPr>
        <w:ind w:right="140" w:firstLine="646"/>
        <w:spacing w:after="0" w:line="311" w:lineRule="auto"/>
        <w:rPr>
          <w:sz w:val="20"/>
          <w:szCs w:val="20"/>
          <w:color w:val="auto"/>
        </w:rPr>
      </w:pPr>
      <w:r>
        <w:rPr>
          <w:rFonts w:ascii="Times New Roman" w:cs="Times New Roman" w:eastAsia="Times New Roman" w:hAnsi="Times New Roman"/>
          <w:sz w:val="17"/>
          <w:szCs w:val="17"/>
          <w:color w:val="auto"/>
        </w:rPr>
        <w:t>While our significant accounting policies are described in more detail in Note 2 to our financial statements included elsewhere in this prospectus, we believe the following accounting policies are those most critical to the judgments and estimates used in the preparation of our financial statements.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28" w:lineRule="exact"/>
        <w:rPr>
          <w:sz w:val="20"/>
          <w:szCs w:val="20"/>
          <w:color w:val="auto"/>
        </w:rPr>
      </w:pPr>
    </w:p>
    <w:p>
      <w:pPr>
        <w:ind w:right="60" w:firstLine="646"/>
        <w:spacing w:after="0" w:line="256" w:lineRule="auto"/>
        <w:rPr>
          <w:sz w:val="20"/>
          <w:szCs w:val="20"/>
          <w:color w:val="auto"/>
        </w:rPr>
      </w:pPr>
      <w:r>
        <w:rPr>
          <w:rFonts w:ascii="Times New Roman" w:cs="Times New Roman" w:eastAsia="Times New Roman" w:hAnsi="Times New Roman"/>
          <w:sz w:val="18"/>
          <w:szCs w:val="18"/>
          <w:color w:val="auto"/>
        </w:rPr>
        <w:t>The Company evaluate acquisitions under the accounting framework in ASC 805, Business Combinations, to determine whether the transaction is a business combination or an asset acquisition. In determining whether an acquisition should be accounted for as a business combination or an asset acquisition, the Company first perform a screen test to determine whether substantially all of the fair value of the gross assets acquired is concentrated in a single identifiable asset or a group of similar identifiable assets. If this is the case, the acquired set is not deemed to be a business and is instead accounted for as an asset acquisition. If this is not the case, the Company further evaluate whether the acquired set includes, at a minimum, an input and a substantive process that together significantly contribute to the ability to create outputs. If so, the Company conclude that the acquired set is a business.</w:t>
      </w:r>
    </w:p>
    <w:p>
      <w:pPr>
        <w:spacing w:after="0" w:line="184" w:lineRule="exact"/>
        <w:rPr>
          <w:sz w:val="20"/>
          <w:szCs w:val="20"/>
          <w:color w:val="auto"/>
        </w:rPr>
      </w:pPr>
    </w:p>
    <w:p>
      <w:pPr>
        <w:ind w:right="100" w:firstLine="646"/>
        <w:spacing w:after="0" w:line="281" w:lineRule="auto"/>
        <w:rPr>
          <w:sz w:val="20"/>
          <w:szCs w:val="20"/>
          <w:color w:val="auto"/>
        </w:rPr>
      </w:pPr>
      <w:r>
        <w:rPr>
          <w:rFonts w:ascii="Times New Roman" w:cs="Times New Roman" w:eastAsia="Times New Roman" w:hAnsi="Times New Roman"/>
          <w:sz w:val="18"/>
          <w:szCs w:val="18"/>
          <w:color w:val="auto"/>
        </w:rPr>
        <w:t>The Company measures and recognizes asset acquisitions that are not deemed to be business combinations based on the cost to acquire the assets, which includes pre-acquisition direct costs recorded in accrued professional and consulting fees. Goodwill is not recognized in asset acquisitions.</w:t>
      </w:r>
    </w:p>
    <w:p>
      <w:pPr>
        <w:spacing w:after="0" w:line="162" w:lineRule="exact"/>
        <w:rPr>
          <w:sz w:val="20"/>
          <w:szCs w:val="20"/>
          <w:color w:val="auto"/>
        </w:rPr>
      </w:pPr>
    </w:p>
    <w:p>
      <w:pPr>
        <w:ind w:firstLine="646"/>
        <w:spacing w:after="0" w:line="265" w:lineRule="auto"/>
        <w:rPr>
          <w:sz w:val="20"/>
          <w:szCs w:val="20"/>
          <w:color w:val="auto"/>
        </w:rPr>
      </w:pPr>
      <w:r>
        <w:rPr>
          <w:rFonts w:ascii="Times New Roman" w:cs="Times New Roman" w:eastAsia="Times New Roman" w:hAnsi="Times New Roman"/>
          <w:sz w:val="18"/>
          <w:szCs w:val="18"/>
          <w:color w:val="auto"/>
        </w:rPr>
        <w:t>During the fiscal 2023 the Company acquired APIRx. The Company concluded that the acquisition of APIRx did not meet the definition of business under ASC 805, Business Combinations as the acquired set did not have outputs present and a substantive process was not acquired. Therefore, the Company accounted for the transaction as an asset acquisition rather than a business combination.</w:t>
      </w:r>
    </w:p>
    <w:p>
      <w:pPr>
        <w:spacing w:after="0" w:line="176" w:lineRule="exact"/>
        <w:rPr>
          <w:sz w:val="20"/>
          <w:szCs w:val="20"/>
          <w:color w:val="auto"/>
        </w:rPr>
      </w:pPr>
    </w:p>
    <w:p>
      <w:pPr>
        <w:jc w:val="both"/>
        <w:ind w:right="20" w:firstLine="646"/>
        <w:spacing w:after="0" w:line="260" w:lineRule="auto"/>
        <w:rPr>
          <w:sz w:val="20"/>
          <w:szCs w:val="20"/>
          <w:color w:val="auto"/>
        </w:rPr>
      </w:pPr>
      <w:r>
        <w:rPr>
          <w:rFonts w:ascii="Times New Roman" w:cs="Times New Roman" w:eastAsia="Times New Roman" w:hAnsi="Times New Roman"/>
          <w:sz w:val="18"/>
          <w:szCs w:val="18"/>
          <w:color w:val="auto"/>
        </w:rPr>
        <w:t>In accordance with ASC 730-10-25-2(c), intangible assets used in research and developmental activities acquired in an asset acquisition should be expensed at the acquisition date if there is no alternative future use in other R&amp;D projects or otherwise (i.e., if they have no economic value). Additionally, in an asset acquisition, direct transaction costs are accumulated as a component of the consideration transferred and expensed with the acquired IPR&amp;D that has no alternative use.</w:t>
      </w:r>
    </w:p>
    <w:p>
      <w:pPr>
        <w:spacing w:after="0" w:line="181" w:lineRule="exact"/>
        <w:rPr>
          <w:sz w:val="20"/>
          <w:szCs w:val="20"/>
          <w:color w:val="auto"/>
        </w:rPr>
      </w:pPr>
    </w:p>
    <w:p>
      <w:pPr>
        <w:ind w:right="420" w:firstLine="646"/>
        <w:spacing w:after="0" w:line="281" w:lineRule="auto"/>
        <w:rPr>
          <w:sz w:val="20"/>
          <w:szCs w:val="20"/>
          <w:color w:val="auto"/>
        </w:rPr>
      </w:pPr>
      <w:r>
        <w:rPr>
          <w:rFonts w:ascii="Times New Roman" w:cs="Times New Roman" w:eastAsia="Times New Roman" w:hAnsi="Times New Roman"/>
          <w:sz w:val="18"/>
          <w:szCs w:val="18"/>
          <w:color w:val="auto"/>
        </w:rPr>
        <w:t>The Company determined that drug candidates pertaining to APIRx had no alternative future use at the time of acquisition and charged $35.3 million including transaction costs of $2.43 million, to the acquisition of IPR&amp;D expense as of the date of acquisition.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8" w:lineRule="exact"/>
        <w:rPr>
          <w:sz w:val="20"/>
          <w:szCs w:val="20"/>
          <w:color w:val="auto"/>
        </w:rPr>
      </w:pPr>
    </w:p>
    <w:p>
      <w:pPr>
        <w:ind w:right="20" w:firstLine="646"/>
        <w:spacing w:after="0" w:line="255" w:lineRule="auto"/>
        <w:rPr>
          <w:sz w:val="20"/>
          <w:szCs w:val="20"/>
          <w:color w:val="auto"/>
        </w:rPr>
      </w:pPr>
      <w:r>
        <w:rPr>
          <w:rFonts w:ascii="Times New Roman" w:cs="Times New Roman" w:eastAsia="Times New Roman" w:hAnsi="Times New Roman"/>
          <w:sz w:val="18"/>
          <w:szCs w:val="18"/>
          <w:color w:val="auto"/>
        </w:rPr>
        <w:t>The Company accounts for stock-based compensation arrangements with employees and non-employees using a fair value method which requires the recognition of compensation expense for costs related to all stock-based payments including share options. The fair value method requires the Company to estimate the fair value of stock-based payment awards on the date of grant using an option-pricing model. The Company uses either the trinomial pricing or Black-Scholes option-pricing model to estimate the fair value of options granted. Stock-based compensation awards are expensed using the graded vesting method over the requisite service period, which is generally the vesting period, for each separately vesting tranche. The Company has elected a policy of estimating forfeitures at grant date. Option valuation models, including the trinomial pricing and Black-Scholes option-pricing model, require the input of several assumptions. These inputs are subjective and generally require significant analysis and judgment to develop.</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R&amp;D Costs</w:t>
      </w:r>
    </w:p>
    <w:p>
      <w:pPr>
        <w:spacing w:after="0" w:line="228" w:lineRule="exact"/>
        <w:rPr>
          <w:sz w:val="20"/>
          <w:szCs w:val="20"/>
          <w:color w:val="auto"/>
        </w:rPr>
      </w:pPr>
    </w:p>
    <w:p>
      <w:pPr>
        <w:jc w:val="both"/>
        <w:ind w:right="280" w:firstLine="646"/>
        <w:spacing w:after="0" w:line="265" w:lineRule="auto"/>
        <w:rPr>
          <w:sz w:val="20"/>
          <w:szCs w:val="20"/>
          <w:color w:val="auto"/>
        </w:rPr>
      </w:pPr>
      <w:r>
        <w:rPr>
          <w:rFonts w:ascii="Times New Roman" w:cs="Times New Roman" w:eastAsia="Times New Roman" w:hAnsi="Times New Roman"/>
          <w:sz w:val="18"/>
          <w:szCs w:val="18"/>
          <w:color w:val="auto"/>
        </w:rPr>
        <w:t>R&amp;D costs are expensed as incurred. R&amp;D consist of salaries, benefits and other personnel related costs including equity-based compensation expense, laboratory supplies, preclinical studies, clinical trials and related clinical manufacturing costs, costs related to manufacturing preparations, fees paid to other entities to conduct certain R&amp;D activities on our behalf and allocated facility and other related costs.</w:t>
      </w:r>
    </w:p>
    <w:p>
      <w:pPr>
        <w:spacing w:after="0" w:line="176" w:lineRule="exact"/>
        <w:rPr>
          <w:sz w:val="20"/>
          <w:szCs w:val="20"/>
          <w:color w:val="auto"/>
        </w:rPr>
      </w:pPr>
    </w:p>
    <w:p>
      <w:pPr>
        <w:ind w:right="400" w:firstLine="646"/>
        <w:spacing w:after="0" w:line="281" w:lineRule="auto"/>
        <w:rPr>
          <w:sz w:val="20"/>
          <w:szCs w:val="20"/>
          <w:color w:val="auto"/>
        </w:rPr>
      </w:pPr>
      <w:r>
        <w:rPr>
          <w:rFonts w:ascii="Times New Roman" w:cs="Times New Roman" w:eastAsia="Times New Roman" w:hAnsi="Times New Roman"/>
          <w:sz w:val="18"/>
          <w:szCs w:val="18"/>
          <w:color w:val="auto"/>
        </w:rPr>
        <w:t>Nonrefundable advance payments for goods or services that will be used or rendered for future R&amp;D activities are deferred and capitalized as prepaid expenses until the related goods are delivered or services are performed.</w:t>
      </w:r>
    </w:p>
    <w:p>
      <w:pPr>
        <w:spacing w:after="0" w:line="162" w:lineRule="exact"/>
        <w:rPr>
          <w:sz w:val="20"/>
          <w:szCs w:val="20"/>
          <w:color w:val="auto"/>
        </w:rPr>
      </w:pPr>
    </w:p>
    <w:p>
      <w:pPr>
        <w:ind w:right="200" w:firstLine="646"/>
        <w:spacing w:after="0" w:line="260" w:lineRule="auto"/>
        <w:rPr>
          <w:sz w:val="20"/>
          <w:szCs w:val="20"/>
          <w:color w:val="auto"/>
        </w:rPr>
      </w:pPr>
      <w:r>
        <w:rPr>
          <w:rFonts w:ascii="Times New Roman" w:cs="Times New Roman" w:eastAsia="Times New Roman" w:hAnsi="Times New Roman"/>
          <w:sz w:val="18"/>
          <w:szCs w:val="18"/>
          <w:color w:val="auto"/>
        </w:rPr>
        <w:t>We record accrued liabilities for estimated costs of R&amp;D activities conducted by third-party service providers, which include the conduct of preclinical studies and clinical trials, and contract manufacturing activities. We record the estimated costs of R&amp;D activities based upon the estimated amount of services provided but not yet invoiced and includes these costs in trade and other payables on the consolidated balance sheets and within R&amp;D expenses on the consolidated statements of operations and comprehensive loss.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90" w:name="page91"/>
    <w:bookmarkEnd w:id="90"/>
    <w:p>
      <w:pPr>
        <w:ind w:right="120" w:firstLine="646"/>
        <w:spacing w:after="0" w:line="260" w:lineRule="auto"/>
        <w:rPr>
          <w:sz w:val="20"/>
          <w:szCs w:val="20"/>
          <w:color w:val="auto"/>
        </w:rPr>
      </w:pPr>
      <w:r>
        <w:rPr>
          <w:rFonts w:ascii="Times New Roman" w:cs="Times New Roman" w:eastAsia="Times New Roman" w:hAnsi="Times New Roman"/>
          <w:sz w:val="18"/>
          <w:szCs w:val="18"/>
          <w:color w:val="auto"/>
        </w:rPr>
        <w:t>We accrue for these costs based on factors such as estimates of the work completed and in accordance with agreements established with its third-party service providers. We make significant judgments and estimates in determining the accrued liabilities balance at the end of each reporting period. As actual costs become known, we adjust our accrued liabilities. We have not experienced any material differences between accrued costs and actual costs incurred.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from R&amp;D Tax Incentive</w:t>
      </w:r>
    </w:p>
    <w:p>
      <w:pPr>
        <w:spacing w:after="0" w:line="228" w:lineRule="exact"/>
        <w:rPr>
          <w:sz w:val="20"/>
          <w:szCs w:val="20"/>
          <w:color w:val="auto"/>
        </w:rPr>
      </w:pPr>
    </w:p>
    <w:p>
      <w:pPr>
        <w:ind w:right="140" w:firstLine="646"/>
        <w:spacing w:after="0" w:line="265" w:lineRule="auto"/>
        <w:rPr>
          <w:sz w:val="20"/>
          <w:szCs w:val="20"/>
          <w:color w:val="auto"/>
        </w:rPr>
      </w:pPr>
      <w:r>
        <w:rPr>
          <w:rFonts w:ascii="Times New Roman" w:cs="Times New Roman" w:eastAsia="Times New Roman" w:hAnsi="Times New Roman"/>
          <w:sz w:val="18"/>
          <w:szCs w:val="18"/>
          <w:color w:val="auto"/>
        </w:rPr>
        <w:t>Benefit from R&amp;D tax credit consists of the R&amp;D tax credit received in Australia, which is recorded within other income (expense), net. The Company recognizes grants once both of the following conditions are met: (i) the Company is able to comply with the relevant conditions of the grant and (ii) the grant is received.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 and Smaller Reporting Company Status</w:t>
      </w:r>
    </w:p>
    <w:p>
      <w:pPr>
        <w:spacing w:after="0" w:line="228" w:lineRule="exact"/>
        <w:rPr>
          <w:sz w:val="20"/>
          <w:szCs w:val="20"/>
          <w:color w:val="auto"/>
        </w:rPr>
      </w:pPr>
    </w:p>
    <w:p>
      <w:pPr>
        <w:ind w:right="20" w:firstLine="646"/>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(“JOBS Act”). The JOBS Act permits an emerging growth company such as us to take advantage of an extended transition period to comply with new or revised accounting standards. We have elected to avail ourselves of such extended transition period, which means that when a standard is issued or revised and it has different application dates for public or private companies, we can adopt the new or revised standard at the time private companies adopt the new or revised standard and may do so until such time that we either (i) irrevocably elect to opt out of such extended transition period or (ii) no longer qualify as an emerging growth company. We may choose to early adopt any new or revised accounting standards whenever such early adoption is permitted for private companies.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will continue to remain an emerging growth company until the earliest of the following:</w:t>
      </w:r>
    </w:p>
    <w:p>
      <w:pPr>
        <w:spacing w:after="0" w:line="224" w:lineRule="exact"/>
        <w:rPr>
          <w:sz w:val="20"/>
          <w:szCs w:val="20"/>
          <w:color w:val="auto"/>
        </w:rPr>
      </w:pPr>
    </w:p>
    <w:p>
      <w:pPr>
        <w:ind w:left="980" w:right="620" w:hanging="326"/>
        <w:spacing w:after="0" w:line="281" w:lineRule="auto"/>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following the fifth anniversary of the date of the completion of the first sale of common equity securities pursuant to an effective registration statement under the Securities Act of 1933;</w:t>
      </w:r>
    </w:p>
    <w:p>
      <w:pPr>
        <w:spacing w:after="0" w:line="161"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our total annual gross revenue is equal to or more than $1.235 billion;</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more than $1.0 billion in nonconvertible debt during the previous three years; or</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are deemed to be a large accelerated filer under the rules of the SEC.</w:t>
      </w:r>
    </w:p>
    <w:p>
      <w:pPr>
        <w:spacing w:after="0" w:line="224" w:lineRule="exact"/>
        <w:rPr>
          <w:sz w:val="20"/>
          <w:szCs w:val="20"/>
          <w:color w:val="auto"/>
        </w:rPr>
      </w:pPr>
    </w:p>
    <w:p>
      <w:pPr>
        <w:ind w:firstLine="646"/>
        <w:spacing w:after="0" w:line="256" w:lineRule="auto"/>
        <w:rPr>
          <w:sz w:val="20"/>
          <w:szCs w:val="20"/>
          <w:color w:val="auto"/>
        </w:rPr>
      </w:pPr>
      <w:r>
        <w:rPr>
          <w:rFonts w:ascii="Times New Roman" w:cs="Times New Roman" w:eastAsia="Times New Roman" w:hAnsi="Times New Roman"/>
          <w:sz w:val="18"/>
          <w:szCs w:val="18"/>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8" w:lineRule="exact"/>
        <w:rPr>
          <w:sz w:val="20"/>
          <w:szCs w:val="20"/>
          <w:color w:val="auto"/>
        </w:rPr>
      </w:pPr>
    </w:p>
    <w:p>
      <w:pPr>
        <w:ind w:right="80" w:firstLine="646"/>
        <w:spacing w:after="0" w:line="281"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8"/>
        </w:trPr>
        <w:tc>
          <w:tcPr>
            <w:tcW w:w="102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000" w:type="dxa"/>
            <w:vAlign w:val="bottom"/>
          </w:tcPr>
          <w:p>
            <w:pPr>
              <w:spacing w:after="0"/>
              <w:rPr>
                <w:sz w:val="20"/>
                <w:szCs w:val="20"/>
                <w:color w:val="auto"/>
              </w:rPr>
            </w:pPr>
          </w:p>
        </w:tc>
      </w:tr>
      <w:tr>
        <w:trPr>
          <w:trHeight w:val="431"/>
        </w:trPr>
        <w:tc>
          <w:tcPr>
            <w:tcW w:w="3140" w:type="dxa"/>
            <w:vAlign w:val="bottom"/>
          </w:tcPr>
          <w:p>
            <w:pPr>
              <w:spacing w:after="0"/>
              <w:rPr>
                <w:sz w:val="24"/>
                <w:szCs w:val="24"/>
                <w:color w:val="auto"/>
              </w:rPr>
            </w:pPr>
          </w:p>
        </w:tc>
        <w:tc>
          <w:tcPr>
            <w:tcW w:w="7100" w:type="dxa"/>
            <w:vAlign w:val="bottom"/>
            <w:gridSpan w:val="6"/>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1000" w:type="dxa"/>
            <w:vAlign w:val="bottom"/>
          </w:tcPr>
          <w:p>
            <w:pPr>
              <w:spacing w:after="0"/>
              <w:rPr>
                <w:sz w:val="24"/>
                <w:szCs w:val="24"/>
                <w:color w:val="auto"/>
              </w:rPr>
            </w:pPr>
          </w:p>
        </w:tc>
      </w:tr>
      <w:tr>
        <w:trPr>
          <w:trHeight w:val="451"/>
        </w:trPr>
        <w:tc>
          <w:tcPr>
            <w:tcW w:w="3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5"/>
        </w:trPr>
        <w:tc>
          <w:tcPr>
            <w:tcW w:w="3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5"/>
        </w:trPr>
        <w:tc>
          <w:tcPr>
            <w:tcW w:w="57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Report of Independent Registered Public Accounting Firm (PCAOB ID: 02233)</w:t>
            </w:r>
          </w:p>
        </w:tc>
        <w:tc>
          <w:tcPr>
            <w:tcW w:w="4480" w:type="dxa"/>
            <w:vAlign w:val="bottom"/>
            <w:tcBorders>
              <w:bottom w:val="single" w:sz="8" w:color="CCEEFF"/>
            </w:tcBorders>
            <w:gridSpan w:val="4"/>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F-2</w:t>
            </w:r>
          </w:p>
        </w:tc>
      </w:tr>
      <w:tr>
        <w:trPr>
          <w:trHeight w:val="175"/>
        </w:trPr>
        <w:tc>
          <w:tcPr>
            <w:tcW w:w="102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 as of June 30, 2024 and 2023</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20"/>
        </w:trPr>
        <w:tc>
          <w:tcPr>
            <w:tcW w:w="31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5"/>
        </w:trPr>
        <w:tc>
          <w:tcPr>
            <w:tcW w:w="838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Operations and Comprehensive Loss for the Fiscal Years Ended June 30, 2024 and 2023</w:t>
            </w:r>
          </w:p>
        </w:tc>
        <w:tc>
          <w:tcPr>
            <w:tcW w:w="18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175"/>
        </w:trPr>
        <w:tc>
          <w:tcPr>
            <w:tcW w:w="1024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Changes in Stockholders’ Equity for the Fiscal Years Ended June 30, 2024 and 2023</w:t>
            </w:r>
          </w:p>
        </w:tc>
        <w:tc>
          <w:tcPr>
            <w:tcW w:w="10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3140" w:type="dxa"/>
            <w:vAlign w:val="bottom"/>
            <w:tcBorders>
              <w:top w:val="single" w:sz="8" w:color="0000EE"/>
            </w:tcBorders>
          </w:tcPr>
          <w:p>
            <w:pPr>
              <w:spacing w:after="0" w:line="20" w:lineRule="exact"/>
              <w:rPr>
                <w:sz w:val="1"/>
                <w:szCs w:val="1"/>
                <w:color w:val="auto"/>
              </w:rPr>
            </w:pPr>
          </w:p>
        </w:tc>
        <w:tc>
          <w:tcPr>
            <w:tcW w:w="110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5"/>
        </w:trPr>
        <w:tc>
          <w:tcPr>
            <w:tcW w:w="102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 for the Fiscal Years Ended June 30, 2024 and 2023</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F-6</w:t>
            </w:r>
          </w:p>
        </w:tc>
      </w:tr>
      <w:tr>
        <w:trPr>
          <w:trHeight w:val="175"/>
        </w:trPr>
        <w:tc>
          <w:tcPr>
            <w:tcW w:w="6560" w:type="dxa"/>
            <w:vAlign w:val="bottom"/>
            <w:tcBorders>
              <w:top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3680" w:type="dxa"/>
            <w:vAlign w:val="bottom"/>
            <w:tcBorders>
              <w:top w:val="single" w:sz="8" w:color="CCEEFF"/>
            </w:tcBorders>
            <w:gridSpan w:val="3"/>
          </w:tcPr>
          <w:p>
            <w:pPr>
              <w:spacing w:after="0"/>
              <w:rPr>
                <w:sz w:val="15"/>
                <w:szCs w:val="15"/>
                <w:color w:val="auto"/>
              </w:rPr>
            </w:pPr>
          </w:p>
        </w:tc>
        <w:tc>
          <w:tcPr>
            <w:tcW w:w="100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F-7</w:t>
            </w:r>
          </w:p>
        </w:tc>
      </w:tr>
      <w:tr>
        <w:trPr>
          <w:trHeight w:val="674"/>
        </w:trPr>
        <w:tc>
          <w:tcPr>
            <w:tcW w:w="3140" w:type="dxa"/>
            <w:vAlign w:val="bottom"/>
            <w:tcBorders>
              <w:top w:val="single" w:sz="8" w:color="0000EE"/>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00" w:type="dxa"/>
            <w:vAlign w:val="bottom"/>
            <w:tcBorders>
              <w:bottom w:val="single" w:sz="8" w:color="auto"/>
            </w:tcBorders>
            <w:gridSpan w:val="5"/>
          </w:tcPr>
          <w:p>
            <w:pPr>
              <w:jc w:val="center"/>
              <w:ind w:right="3240"/>
              <w:spacing w:after="0"/>
              <w:rPr>
                <w:sz w:val="20"/>
                <w:szCs w:val="20"/>
                <w:color w:val="auto"/>
              </w:rPr>
            </w:pPr>
            <w:r>
              <w:rPr>
                <w:rFonts w:ascii="Times New Roman" w:cs="Times New Roman" w:eastAsia="Times New Roman" w:hAnsi="Times New Roman"/>
                <w:sz w:val="18"/>
                <w:szCs w:val="18"/>
                <w:color w:val="auto"/>
                <w:w w:val="95"/>
              </w:rPr>
              <w:t>F-1</w:t>
            </w: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1" w:right="339" w:bottom="1440" w:gutter="0" w:footer="0" w:header="0"/>
        </w:sectPr>
      </w:pPr>
    </w:p>
    <w:bookmarkStart w:id="92" w:name="page93"/>
    <w:bookmarkEnd w:id="92"/>
    <w:p>
      <w:pPr>
        <w:ind w:left="25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Incannex Healthcare Inc.</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8"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Incannex Healthcare Inc. (a Delaware corporation) and subsidiaries (the “Company”) as of June 30, 2024 and 2023, the related consolidated statements of operations, comprehensive income, stockholders’ equity, and cash flows for each of the two years in the period ended June 30, 2024, and the related notes (collectively referred to as the “financial statements”).</w:t>
      </w:r>
    </w:p>
    <w:p>
      <w:pPr>
        <w:spacing w:after="0" w:line="176"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8"/>
          <w:szCs w:val="18"/>
          <w:color w:val="auto"/>
        </w:rPr>
        <w:t>In our opinion, the financial statements present fairly, in all material respects, the financial position of the Company as of June 30, 2024 and 2023, and the results of its operations and its cash flows for each of the two years in the period ended June 30, 2024,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2 to the financial statements, The Company has incurred total comprehensive losses of $18.5 million and $48.8 million for the fiscal years ended June 30, 2024 and 2023, respectively, and experienced net cash outflows from operating activities of $15. 8 million and $10.7 million for the fiscal years ended June 30, 2024 and 2023, respectively. As of June 30, 2024 and 2023, the Company had cash and cash equivalents of $5.9 million and $22.1 million, respectively, and current assets exceeded its current liabilities by $10.6 million and $21.2 million, respectively. These conditions, along with other matters as set forth in Note 2, raise substantial doubt about the Company’s ability to continue as a going concern. Management’s plans in regard to these matters are also described in Note 2. The financial statements do not include any adjustments that might result from the outcome of this uncertainty.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8"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1"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5"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AUDIT PTY LTD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2023.</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Perth, Australia</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93" w:name="page94"/>
    <w:bookmarkEnd w:id="9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assets:</w:t>
      </w:r>
    </w:p>
    <w:p>
      <w:pPr>
        <w:spacing w:after="0" w:line="9" w:lineRule="exact"/>
        <w:rPr>
          <w:sz w:val="20"/>
          <w:szCs w:val="20"/>
          <w:color w:val="auto"/>
        </w:rPr>
      </w:pPr>
    </w:p>
    <w:p>
      <w:pPr>
        <w:ind w:left="160" w:right="860"/>
        <w:spacing w:after="0" w:line="249" w:lineRule="auto"/>
        <w:rPr>
          <w:sz w:val="20"/>
          <w:szCs w:val="20"/>
          <w:color w:val="auto"/>
        </w:rPr>
      </w:pPr>
      <w:r>
        <w:rPr>
          <w:rFonts w:ascii="Times New Roman" w:cs="Times New Roman" w:eastAsia="Times New Roman" w:hAnsi="Times New Roman"/>
          <w:sz w:val="18"/>
          <w:szCs w:val="18"/>
          <w:color w:val="auto"/>
        </w:rPr>
        <w:t>Cash and cash equivalents Prepaid expenses and other assets</w:t>
      </w:r>
    </w:p>
    <w:p>
      <w:pPr>
        <w:spacing w:after="0" w:line="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R&amp;D tax incentive receivable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right-of-use assets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assets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and stockholders’ equity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liabilities:</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Trade and other payables</w:t>
      </w:r>
    </w:p>
    <w:p>
      <w:pPr>
        <w:spacing w:after="0" w:line="9" w:lineRule="exact"/>
        <w:rPr>
          <w:sz w:val="20"/>
          <w:szCs w:val="20"/>
          <w:color w:val="auto"/>
        </w:rPr>
      </w:pPr>
    </w:p>
    <w:p>
      <w:pPr>
        <w:ind w:left="160"/>
        <w:spacing w:after="0" w:line="259" w:lineRule="auto"/>
        <w:rPr>
          <w:sz w:val="20"/>
          <w:szCs w:val="20"/>
          <w:color w:val="auto"/>
        </w:rPr>
      </w:pPr>
      <w:r>
        <w:rPr>
          <w:rFonts w:ascii="Times New Roman" w:cs="Times New Roman" w:eastAsia="Times New Roman" w:hAnsi="Times New Roman"/>
          <w:sz w:val="18"/>
          <w:szCs w:val="18"/>
          <w:color w:val="auto"/>
        </w:rPr>
        <w:t>Accrued expenses and other current liabilities Operating lease liabilities, current</w:t>
      </w:r>
    </w:p>
    <w:p>
      <w:pPr>
        <w:spacing w:after="0" w:line="20" w:lineRule="exact"/>
        <w:rPr>
          <w:sz w:val="20"/>
          <w:szCs w:val="20"/>
          <w:color w:val="auto"/>
        </w:rPr>
      </w:pPr>
      <w:r>
        <w:rPr>
          <w:sz w:val="20"/>
          <w:szCs w:val="20"/>
          <w:color w:val="auto"/>
        </w:rPr>
        <w:br w:type="column"/>
      </w:r>
    </w:p>
    <w:p>
      <w:pPr>
        <w:jc w:val="center"/>
        <w:ind w:right="3760"/>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31"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(expressed in U.S. Dollars, unless otherwise stated)</w:t>
      </w:r>
    </w:p>
    <w:p>
      <w:pPr>
        <w:spacing w:after="0" w:line="202" w:lineRule="exact"/>
        <w:rPr>
          <w:sz w:val="20"/>
          <w:szCs w:val="20"/>
          <w:color w:val="auto"/>
        </w:rPr>
      </w:pPr>
    </w:p>
    <w:tbl>
      <w:tblPr>
        <w:tblLayout w:type="fixed"/>
        <w:tblInd w:w="480" w:type="dxa"/>
        <w:tblCellMar>
          <w:top w:w="0" w:type="dxa"/>
          <w:left w:w="0" w:type="dxa"/>
          <w:bottom w:w="0" w:type="dxa"/>
          <w:right w:w="0" w:type="dxa"/>
        </w:tblCellMar>
      </w:tblPr>
      <w:tr>
        <w:trPr>
          <w:trHeight w:val="215"/>
        </w:trPr>
        <w:tc>
          <w:tcPr>
            <w:tcW w:w="22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6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45"/>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320" w:type="dxa"/>
            <w:vAlign w:val="bottom"/>
            <w:gridSpan w:val="4"/>
          </w:tcPr>
          <w:p>
            <w:pPr>
              <w:jc w:val="center"/>
              <w:ind w:left="2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2023  </w:t>
            </w:r>
          </w:p>
        </w:tc>
      </w:tr>
      <w:tr>
        <w:trPr>
          <w:trHeight w:val="197"/>
        </w:trPr>
        <w:tc>
          <w:tcPr>
            <w:tcW w:w="22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52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 </w:t>
            </w:r>
          </w:p>
        </w:tc>
        <w:tc>
          <w:tcPr>
            <w:tcW w:w="100" w:type="dxa"/>
            <w:vAlign w:val="bottom"/>
            <w:tcBorders>
              <w:top w:val="single" w:sz="8" w:color="auto"/>
            </w:tcBorders>
          </w:tcPr>
          <w:p>
            <w:pPr>
              <w:jc w:val="center"/>
              <w:spacing w:after="0" w:line="197" w:lineRule="exact"/>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top w:val="single" w:sz="8" w:color="auto"/>
            </w:tcBorders>
          </w:tcPr>
          <w:p>
            <w:pPr>
              <w:jc w:val="right"/>
              <w:ind w:right="330"/>
              <w:spacing w:after="0" w:line="197" w:lineRule="exact"/>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5"/>
        </w:trPr>
        <w:tc>
          <w:tcPr>
            <w:tcW w:w="22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5"/>
        </w:trPr>
        <w:tc>
          <w:tcPr>
            <w:tcW w:w="22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6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   </w:t>
            </w:r>
          </w:p>
        </w:tc>
      </w:tr>
      <w:tr>
        <w:trPr>
          <w:trHeight w:val="215"/>
        </w:trPr>
        <w:tc>
          <w:tcPr>
            <w:tcW w:w="2220" w:type="dxa"/>
            <w:vAlign w:val="bottom"/>
          </w:tcPr>
          <w:p>
            <w:pPr>
              <w:spacing w:after="0"/>
              <w:rPr>
                <w:sz w:val="18"/>
                <w:szCs w:val="18"/>
                <w:color w:val="auto"/>
              </w:rPr>
            </w:pPr>
          </w:p>
        </w:tc>
        <w:tc>
          <w:tcPr>
            <w:tcW w:w="27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5,858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22,120</w:t>
            </w:r>
          </w:p>
        </w:tc>
        <w:tc>
          <w:tcPr>
            <w:tcW w:w="20" w:type="dxa"/>
            <w:vAlign w:val="bottom"/>
          </w:tcPr>
          <w:p>
            <w:pPr>
              <w:spacing w:after="0"/>
              <w:rPr>
                <w:sz w:val="18"/>
                <w:szCs w:val="18"/>
                <w:color w:val="auto"/>
              </w:rPr>
            </w:pPr>
          </w:p>
        </w:tc>
      </w:tr>
      <w:tr>
        <w:trPr>
          <w:trHeight w:val="215"/>
        </w:trPr>
        <w:tc>
          <w:tcPr>
            <w:tcW w:w="22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507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20" w:type="dxa"/>
            <w:vAlign w:val="bottom"/>
          </w:tcPr>
          <w:p>
            <w:pPr>
              <w:spacing w:after="0"/>
              <w:rPr>
                <w:sz w:val="18"/>
                <w:szCs w:val="18"/>
                <w:color w:val="auto"/>
              </w:rPr>
            </w:pPr>
          </w:p>
        </w:tc>
      </w:tr>
      <w:tr>
        <w:trPr>
          <w:trHeight w:val="241"/>
        </w:trPr>
        <w:tc>
          <w:tcPr>
            <w:tcW w:w="22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r>
      <w:tr>
        <w:trPr>
          <w:trHeight w:val="197"/>
        </w:trPr>
        <w:tc>
          <w:tcPr>
            <w:tcW w:w="22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b w:val="1"/>
                <w:bCs w:val="1"/>
                <w:color w:val="auto"/>
                <w:w w:val="94"/>
              </w:rPr>
              <w:t> 16,202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197" w:lineRule="exact"/>
              <w:rPr>
                <w:sz w:val="20"/>
                <w:szCs w:val="20"/>
                <w:color w:val="auto"/>
              </w:rPr>
            </w:pPr>
            <w:r>
              <w:rPr>
                <w:rFonts w:ascii="Times New Roman" w:cs="Times New Roman" w:eastAsia="Times New Roman" w:hAnsi="Times New Roman"/>
                <w:sz w:val="18"/>
                <w:szCs w:val="18"/>
                <w:color w:val="auto"/>
              </w:rPr>
              <w:t>22,997</w:t>
            </w:r>
          </w:p>
        </w:tc>
        <w:tc>
          <w:tcPr>
            <w:tcW w:w="20" w:type="dxa"/>
            <w:vAlign w:val="bottom"/>
            <w:tcBorders>
              <w:top w:val="single" w:sz="8" w:color="auto"/>
            </w:tcBorders>
          </w:tcPr>
          <w:p>
            <w:pPr>
              <w:spacing w:after="0"/>
              <w:rPr>
                <w:sz w:val="17"/>
                <w:szCs w:val="17"/>
                <w:color w:val="auto"/>
              </w:rPr>
            </w:pPr>
          </w:p>
        </w:tc>
      </w:tr>
      <w:tr>
        <w:trPr>
          <w:trHeight w:val="215"/>
        </w:trPr>
        <w:tc>
          <w:tcPr>
            <w:tcW w:w="22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472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0" w:type="dxa"/>
            <w:vAlign w:val="bottom"/>
          </w:tcPr>
          <w:p>
            <w:pPr>
              <w:spacing w:after="0"/>
              <w:rPr>
                <w:sz w:val="18"/>
                <w:szCs w:val="18"/>
                <w:color w:val="auto"/>
              </w:rPr>
            </w:pPr>
          </w:p>
        </w:tc>
      </w:tr>
      <w:tr>
        <w:trPr>
          <w:trHeight w:val="241"/>
        </w:trPr>
        <w:tc>
          <w:tcPr>
            <w:tcW w:w="22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373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0" w:type="dxa"/>
            <w:vAlign w:val="bottom"/>
          </w:tcPr>
          <w:p>
            <w:pPr>
              <w:spacing w:after="0"/>
              <w:rPr>
                <w:sz w:val="20"/>
                <w:szCs w:val="20"/>
                <w:color w:val="auto"/>
              </w:rPr>
            </w:pPr>
          </w:p>
        </w:tc>
      </w:tr>
      <w:tr>
        <w:trPr>
          <w:trHeight w:val="222"/>
        </w:trPr>
        <w:tc>
          <w:tcPr>
            <w:tcW w:w="22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17,047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23,783</w:t>
            </w:r>
          </w:p>
        </w:tc>
        <w:tc>
          <w:tcPr>
            <w:tcW w:w="20" w:type="dxa"/>
            <w:vAlign w:val="bottom"/>
            <w:tcBorders>
              <w:top w:val="single" w:sz="8" w:color="auto"/>
              <w:bottom w:val="single" w:sz="8" w:color="auto"/>
            </w:tcBorders>
          </w:tcPr>
          <w:p>
            <w:pPr>
              <w:spacing w:after="0"/>
              <w:rPr>
                <w:sz w:val="19"/>
                <w:szCs w:val="19"/>
                <w:color w:val="auto"/>
              </w:rPr>
            </w:pPr>
          </w:p>
        </w:tc>
      </w:tr>
      <w:tr>
        <w:trPr>
          <w:trHeight w:val="20"/>
        </w:trPr>
        <w:tc>
          <w:tcPr>
            <w:tcW w:w="22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222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ind w:left="500"/>
              <w:spacing w:after="0" w:line="197" w:lineRule="exact"/>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w w:val="75"/>
              </w:rPr>
              <w:t> </w:t>
            </w:r>
          </w:p>
        </w:tc>
      </w:tr>
      <w:tr>
        <w:trPr>
          <w:trHeight w:val="215"/>
        </w:trPr>
        <w:tc>
          <w:tcPr>
            <w:tcW w:w="22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940"/>
              <w:spacing w:after="0"/>
              <w:rPr>
                <w:sz w:val="20"/>
                <w:szCs w:val="20"/>
                <w:color w:val="auto"/>
              </w:rPr>
            </w:pPr>
            <w:r>
              <w:rPr>
                <w:rFonts w:ascii="Times New Roman" w:cs="Times New Roman" w:eastAsia="Times New Roman" w:hAnsi="Times New Roman"/>
                <w:sz w:val="13"/>
                <w:szCs w:val="13"/>
                <w:color w:val="auto"/>
                <w:w w:val="75"/>
              </w:rPr>
              <w:t> </w:t>
            </w:r>
          </w:p>
        </w:tc>
      </w:tr>
      <w:tr>
        <w:trPr>
          <w:trHeight w:val="215"/>
        </w:trPr>
        <w:tc>
          <w:tcPr>
            <w:tcW w:w="2220" w:type="dxa"/>
            <w:vAlign w:val="bottom"/>
          </w:tcPr>
          <w:p>
            <w:pPr>
              <w:spacing w:after="0"/>
              <w:rPr>
                <w:sz w:val="18"/>
                <w:szCs w:val="18"/>
                <w:color w:val="auto"/>
              </w:rPr>
            </w:pPr>
          </w:p>
        </w:tc>
        <w:tc>
          <w:tcPr>
            <w:tcW w:w="27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20" w:type="dxa"/>
            <w:vAlign w:val="bottom"/>
          </w:tcPr>
          <w:p>
            <w:pPr>
              <w:spacing w:after="0"/>
              <w:rPr>
                <w:sz w:val="18"/>
                <w:szCs w:val="18"/>
                <w:color w:val="auto"/>
              </w:rPr>
            </w:pPr>
          </w:p>
        </w:tc>
      </w:tr>
      <w:tr>
        <w:trPr>
          <w:trHeight w:val="215"/>
        </w:trPr>
        <w:tc>
          <w:tcPr>
            <w:tcW w:w="22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0" w:type="dxa"/>
            <w:vAlign w:val="bottom"/>
          </w:tcPr>
          <w:p>
            <w:pPr>
              <w:spacing w:after="0"/>
              <w:rPr>
                <w:sz w:val="18"/>
                <w:szCs w:val="18"/>
                <w:color w:val="auto"/>
              </w:rPr>
            </w:pPr>
          </w:p>
        </w:tc>
      </w:tr>
      <w:tr>
        <w:trPr>
          <w:trHeight w:val="234"/>
        </w:trPr>
        <w:tc>
          <w:tcPr>
            <w:tcW w:w="22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163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-1718310</wp:posOffset>
            </wp:positionV>
            <wp:extent cx="7132955" cy="1365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-1444625</wp:posOffset>
            </wp:positionV>
            <wp:extent cx="7132955" cy="145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955" cy="14541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-1153795</wp:posOffset>
            </wp:positionV>
            <wp:extent cx="7132955" cy="1365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-871855</wp:posOffset>
            </wp:positionV>
            <wp:extent cx="7132955" cy="1625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955" cy="162560"/>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-546735</wp:posOffset>
            </wp:positionV>
            <wp:extent cx="7132955" cy="1365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-2394585</wp:posOffset>
            </wp:positionH>
            <wp:positionV relativeFrom="paragraph">
              <wp:posOffset>-273050</wp:posOffset>
            </wp:positionV>
            <wp:extent cx="7132955" cy="13652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16" w:lineRule="exact"/>
        <w:rPr>
          <w:sz w:val="20"/>
          <w:szCs w:val="20"/>
          <w:color w:val="auto"/>
        </w:rPr>
      </w:pPr>
    </w:p>
    <w:p>
      <w:pPr>
        <w:sectPr>
          <w:pgSz w:w="11900" w:h="16838" w:orient="portrait"/>
          <w:cols w:equalWidth="0" w:num="2">
            <w:col w:w="3460" w:space="320"/>
            <w:col w:w="7460"/>
          </w:cols>
          <w:pgMar w:left="320" w:top="871" w:right="339" w:bottom="1440" w:gutter="0" w:footer="0" w:header="0"/>
        </w:sectPr>
      </w:pPr>
    </w:p>
    <w:tbl>
      <w:tblPr>
        <w:tblLayout w:type="fixed"/>
        <w:tblInd w:w="0" w:type="dxa"/>
        <w:tblCellMar>
          <w:top w:w="0" w:type="dxa"/>
          <w:left w:w="0" w:type="dxa"/>
          <w:bottom w:w="0" w:type="dxa"/>
          <w:right w:w="0" w:type="dxa"/>
        </w:tblCellMar>
      </w:tblPr>
      <w:tr>
        <w:trPr>
          <w:trHeight w:val="207"/>
        </w:trPr>
        <w:tc>
          <w:tcPr>
            <w:tcW w:w="8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5,620</w:t>
            </w: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22"/>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408</w:t>
            </w:r>
          </w:p>
        </w:tc>
        <w:tc>
          <w:tcPr>
            <w:tcW w:w="80" w:type="dxa"/>
            <w:vAlign w:val="bottom"/>
          </w:tcPr>
          <w:p>
            <w:pPr>
              <w:spacing w:after="0"/>
              <w:rPr>
                <w:sz w:val="19"/>
                <w:szCs w:val="19"/>
                <w:color w:val="auto"/>
              </w:rPr>
            </w:pPr>
          </w:p>
        </w:tc>
      </w:tr>
      <w:tr>
        <w:trPr>
          <w:trHeight w:val="235"/>
        </w:trPr>
        <w:tc>
          <w:tcPr>
            <w:tcW w:w="8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5,830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2"/>
        </w:trPr>
        <w:tc>
          <w:tcPr>
            <w:tcW w:w="86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Commitments and contingencies (Note 8)</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2"/>
          </w:tcPr>
          <w:p>
            <w:pPr>
              <w:jc w:val="right"/>
              <w:ind w:right="20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3"/>
          </w:tcPr>
          <w:p>
            <w:pPr>
              <w:jc w:val="right"/>
              <w:ind w:right="80"/>
              <w:spacing w:after="0" w:line="202" w:lineRule="exact"/>
              <w:rPr>
                <w:sz w:val="20"/>
                <w:szCs w:val="20"/>
                <w:color w:val="auto"/>
              </w:rPr>
            </w:pPr>
            <w:r>
              <w:rPr>
                <w:rFonts w:ascii="Times New Roman" w:cs="Times New Roman" w:eastAsia="Times New Roman" w:hAnsi="Times New Roman"/>
                <w:sz w:val="18"/>
                <w:szCs w:val="18"/>
                <w:color w:val="auto"/>
              </w:rPr>
              <w:t> </w:t>
            </w:r>
          </w:p>
        </w:tc>
      </w:tr>
      <w:tr>
        <w:trPr>
          <w:trHeight w:val="215"/>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7"/>
        </w:trPr>
        <w:tc>
          <w:tcPr>
            <w:tcW w:w="860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Common stock, $0.0001 par value – 100,000,000 shares authorized; 15,873,113 and 15,873,113 shares issued and</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outstanding at June 30, 2024 and 2023, respectively</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 2</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r>
      <w:tr>
        <w:trPr>
          <w:trHeight w:val="197"/>
        </w:trPr>
        <w:tc>
          <w:tcPr>
            <w:tcW w:w="860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Preferred stock, $0.0001 par value per share, 10,000,000 shares authorized; no shares issued or outstanding at June 30,</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8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2024 and 2023, respectively</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r>
      <w:tr>
        <w:trPr>
          <w:trHeight w:val="215"/>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125,218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116,290</w:t>
            </w:r>
          </w:p>
        </w:tc>
        <w:tc>
          <w:tcPr>
            <w:tcW w:w="80" w:type="dxa"/>
            <w:vAlign w:val="bottom"/>
          </w:tcPr>
          <w:p>
            <w:pPr>
              <w:spacing w:after="0"/>
              <w:rPr>
                <w:sz w:val="18"/>
                <w:szCs w:val="18"/>
                <w:color w:val="auto"/>
              </w:rPr>
            </w:pPr>
          </w:p>
        </w:tc>
      </w:tr>
      <w:tr>
        <w:trPr>
          <w:trHeight w:val="215"/>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(110,671)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(92,212)</w:t>
            </w:r>
          </w:p>
        </w:tc>
      </w:tr>
      <w:tr>
        <w:trPr>
          <w:trHeight w:val="222"/>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reserve</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(3,332)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(3,255)</w:t>
            </w:r>
          </w:p>
        </w:tc>
      </w:tr>
      <w:tr>
        <w:trPr>
          <w:trHeight w:val="235"/>
        </w:trPr>
        <w:tc>
          <w:tcPr>
            <w:tcW w:w="8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11,217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9"/>
        </w:trPr>
        <w:tc>
          <w:tcPr>
            <w:tcW w:w="860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Total liabilities and stockholders’ equity</w:t>
            </w:r>
          </w:p>
        </w:tc>
        <w:tc>
          <w:tcPr>
            <w:tcW w:w="6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line="20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17,047</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23,783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type w:val="continuous"/>
        </w:sectPr>
      </w:pPr>
    </w:p>
    <w:bookmarkStart w:id="94" w:name="page95"/>
    <w:bookmarkEnd w:id="94"/>
    <w:p>
      <w:pPr>
        <w:jc w:val="center"/>
        <w:ind w:left="3020"/>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31" w:lineRule="exact"/>
        <w:rPr>
          <w:sz w:val="20"/>
          <w:szCs w:val="20"/>
          <w:color w:val="auto"/>
        </w:rPr>
      </w:pPr>
    </w:p>
    <w:p>
      <w:pPr>
        <w:jc w:val="center"/>
        <w:ind w:left="3020"/>
        <w:spacing w:after="0"/>
        <w:rPr>
          <w:sz w:val="20"/>
          <w:szCs w:val="20"/>
          <w:color w:val="auto"/>
        </w:rPr>
      </w:pPr>
      <w:r>
        <w:rPr>
          <w:rFonts w:ascii="Times New Roman" w:cs="Times New Roman" w:eastAsia="Times New Roman" w:hAnsi="Times New Roman"/>
          <w:sz w:val="17"/>
          <w:szCs w:val="17"/>
          <w:color w:val="auto"/>
        </w:rPr>
        <w:t>Consolidated Statements of Operations and Comprehensive Loss</w:t>
      </w:r>
    </w:p>
    <w:p>
      <w:pPr>
        <w:spacing w:after="0" w:line="20"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(expressed in U.S. Dollars, unless otherwise stated)</w:t>
      </w:r>
    </w:p>
    <w:p>
      <w:pPr>
        <w:spacing w:after="0" w:line="200" w:lineRule="exact"/>
        <w:rPr>
          <w:sz w:val="20"/>
          <w:szCs w:val="20"/>
          <w:color w:val="auto"/>
        </w:rPr>
      </w:pPr>
    </w:p>
    <w:p>
      <w:pPr>
        <w:spacing w:after="0" w:line="20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49"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955" cy="1536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from customers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955" cy="13652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Acquisition of in-process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955" cy="1625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955" cy="162560"/>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955" cy="15367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from operations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132955" cy="1365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ind w:left="160"/>
        <w:spacing w:after="0"/>
        <w:rPr>
          <w:sz w:val="20"/>
          <w:szCs w:val="20"/>
          <w:color w:val="auto"/>
        </w:rPr>
      </w:pPr>
      <w:r>
        <w:rPr>
          <w:rFonts w:ascii="Times New Roman" w:cs="Times New Roman" w:eastAsia="Times New Roman" w:hAnsi="Times New Roman"/>
          <w:sz w:val="18"/>
          <w:szCs w:val="18"/>
          <w:color w:val="auto"/>
        </w:rPr>
        <w:t>R&amp;D tax incentive</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Foreign exchange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For the fiscal year ended</w:t>
      </w:r>
    </w:p>
    <w:p>
      <w:pPr>
        <w:spacing w:after="0" w:line="4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5080</wp:posOffset>
            </wp:positionV>
            <wp:extent cx="156527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565275" cy="17145"/>
                    </a:xfrm>
                    <a:prstGeom prst="rect">
                      <a:avLst/>
                    </a:prstGeom>
                    <a:noFill/>
                  </pic:spPr>
                </pic:pic>
              </a:graphicData>
            </a:graphic>
          </wp:anchor>
        </w:drawing>
      </w:r>
    </w:p>
    <w:p>
      <w:pPr>
        <w:spacing w:after="0" w:line="6" w:lineRule="exact"/>
        <w:rPr>
          <w:sz w:val="20"/>
          <w:szCs w:val="20"/>
          <w:color w:val="auto"/>
        </w:rPr>
      </w:pPr>
    </w:p>
    <w:p>
      <w:pPr>
        <w:ind w:left="100"/>
        <w:spacing w:after="0"/>
        <w:tabs>
          <w:tab w:leader="none" w:pos="142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39" w:lineRule="exact"/>
        <w:rPr>
          <w:sz w:val="20"/>
          <w:szCs w:val="20"/>
          <w:color w:val="auto"/>
        </w:rPr>
      </w:pPr>
    </w:p>
    <w:p>
      <w:pPr>
        <w:ind w:left="660"/>
        <w:spacing w:after="0"/>
        <w:tabs>
          <w:tab w:leader="none" w:pos="210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w:t>
      </w:r>
    </w:p>
    <w:p>
      <w:pPr>
        <w:spacing w:after="0" w:line="224" w:lineRule="exact"/>
        <w:rPr>
          <w:sz w:val="20"/>
          <w:szCs w:val="20"/>
          <w:color w:val="auto"/>
        </w:rPr>
      </w:pPr>
    </w:p>
    <w:p>
      <w:pPr>
        <w:jc w:val="both"/>
        <w:ind w:left="280"/>
        <w:spacing w:after="0"/>
        <w:tabs>
          <w:tab w:leader="none" w:pos="1680" w:val="left"/>
        </w:tabs>
        <w:rPr>
          <w:sz w:val="20"/>
          <w:szCs w:val="20"/>
          <w:color w:val="auto"/>
        </w:rPr>
      </w:pPr>
      <w:r>
        <w:rPr>
          <w:rFonts w:ascii="Times New Roman" w:cs="Times New Roman" w:eastAsia="Times New Roman" w:hAnsi="Times New Roman"/>
          <w:sz w:val="18"/>
          <w:szCs w:val="18"/>
          <w:color w:val="auto"/>
        </w:rPr>
        <w:t>(12,879)</w:t>
      </w:r>
      <w:r>
        <w:rPr>
          <w:sz w:val="20"/>
          <w:szCs w:val="20"/>
          <w:color w:val="auto"/>
        </w:rPr>
        <w:tab/>
      </w:r>
      <w:r>
        <w:rPr>
          <w:rFonts w:ascii="Times New Roman" w:cs="Times New Roman" w:eastAsia="Times New Roman" w:hAnsi="Times New Roman"/>
          <w:sz w:val="18"/>
          <w:szCs w:val="18"/>
          <w:color w:val="auto"/>
        </w:rPr>
        <w:t>(6,309)</w:t>
      </w:r>
    </w:p>
    <w:p>
      <w:pPr>
        <w:spacing w:after="0" w:line="27" w:lineRule="exact"/>
        <w:rPr>
          <w:sz w:val="20"/>
          <w:szCs w:val="20"/>
          <w:color w:val="auto"/>
        </w:rPr>
      </w:pPr>
    </w:p>
    <w:p>
      <w:pPr>
        <w:ind w:left="1620" w:hanging="841"/>
        <w:spacing w:after="0"/>
        <w:tabs>
          <w:tab w:leader="none" w:pos="1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(35,347)</w:t>
      </w:r>
    </w:p>
    <w:p>
      <w:pPr>
        <w:spacing w:after="0" w:line="8" w:lineRule="exact"/>
        <w:rPr>
          <w:rFonts w:ascii="Times New Roman" w:cs="Times New Roman" w:eastAsia="Times New Roman" w:hAnsi="Times New Roman"/>
          <w:sz w:val="18"/>
          <w:szCs w:val="18"/>
          <w:color w:val="auto"/>
        </w:rPr>
      </w:pPr>
    </w:p>
    <w:p>
      <w:pPr>
        <w:ind w:left="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(17,174)(8,012)</w:t>
      </w:r>
    </w:p>
    <w:p>
      <w:pPr>
        <w:spacing w:after="0" w:line="21" w:lineRule="exact"/>
        <w:rPr>
          <w:rFonts w:ascii="Times New Roman" w:cs="Times New Roman" w:eastAsia="Times New Roman" w:hAnsi="Times New Roman"/>
          <w:sz w:val="18"/>
          <w:szCs w:val="18"/>
          <w:color w:val="auto"/>
        </w:rPr>
      </w:pPr>
    </w:p>
    <w:p>
      <w:pPr>
        <w:ind w:left="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(30,053)(49,668)</w:t>
      </w:r>
    </w:p>
    <w:p>
      <w:pPr>
        <w:spacing w:after="0" w:line="43" w:lineRule="exact"/>
        <w:rPr>
          <w:rFonts w:ascii="Times New Roman" w:cs="Times New Roman" w:eastAsia="Times New Roman" w:hAnsi="Times New Roman"/>
          <w:sz w:val="18"/>
          <w:szCs w:val="18"/>
          <w:color w:val="auto"/>
        </w:rPr>
      </w:pPr>
    </w:p>
    <w:p>
      <w:pPr>
        <w:ind w:left="2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(30,041)(49,668)</w:t>
      </w:r>
    </w:p>
    <w:p>
      <w:pPr>
        <w:spacing w:after="0" w:line="224" w:lineRule="exact"/>
        <w:rPr>
          <w:sz w:val="20"/>
          <w:szCs w:val="20"/>
          <w:color w:val="auto"/>
        </w:rPr>
      </w:pPr>
    </w:p>
    <w:p>
      <w:pPr>
        <w:ind w:left="360"/>
        <w:spacing w:after="0"/>
        <w:tabs>
          <w:tab w:leader="none" w:pos="1880" w:val="left"/>
        </w:tabs>
        <w:rPr>
          <w:sz w:val="20"/>
          <w:szCs w:val="20"/>
          <w:color w:val="auto"/>
        </w:rPr>
      </w:pPr>
      <w:r>
        <w:rPr>
          <w:rFonts w:ascii="Times New Roman" w:cs="Times New Roman" w:eastAsia="Times New Roman" w:hAnsi="Times New Roman"/>
          <w:sz w:val="18"/>
          <w:szCs w:val="18"/>
          <w:color w:val="auto"/>
        </w:rPr>
        <w:t>11,434</w:t>
      </w:r>
      <w:r>
        <w:rPr>
          <w:sz w:val="20"/>
          <w:szCs w:val="20"/>
          <w:color w:val="auto"/>
        </w:rPr>
        <w:tab/>
      </w:r>
      <w:r>
        <w:rPr>
          <w:rFonts w:ascii="Times New Roman" w:cs="Times New Roman" w:eastAsia="Times New Roman" w:hAnsi="Times New Roman"/>
          <w:sz w:val="18"/>
          <w:szCs w:val="18"/>
          <w:color w:val="auto"/>
        </w:rPr>
        <w:t>683</w:t>
      </w:r>
    </w:p>
    <w:p>
      <w:pPr>
        <w:spacing w:after="0" w:line="27" w:lineRule="exact"/>
        <w:rPr>
          <w:sz w:val="20"/>
          <w:szCs w:val="20"/>
          <w:color w:val="auto"/>
        </w:rPr>
      </w:pPr>
    </w:p>
    <w:p>
      <w:pPr>
        <w:ind w:left="1940" w:hanging="1340"/>
        <w:spacing w:after="0"/>
        <w:tabs>
          <w:tab w:leader="none" w:pos="19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w:t>
      </w:r>
    </w:p>
    <w:p>
      <w:pPr>
        <w:spacing w:after="0" w:line="26" w:lineRule="exact"/>
        <w:rPr>
          <w:sz w:val="20"/>
          <w:szCs w:val="20"/>
          <w:color w:val="auto"/>
        </w:rPr>
      </w:pPr>
    </w:p>
    <w:p>
      <w:pPr>
        <w:sectPr>
          <w:pgSz w:w="11900" w:h="16838" w:orient="portrait"/>
          <w:cols w:equalWidth="0" w:num="2">
            <w:col w:w="8240" w:space="720"/>
            <w:col w:w="2280"/>
          </w:cols>
          <w:pgMar w:left="320" w:top="871" w:right="339" w:bottom="1440" w:gutter="0" w:footer="0" w:header="0"/>
        </w:sectPr>
      </w:pPr>
    </w:p>
    <w:tbl>
      <w:tblPr>
        <w:tblLayout w:type="fixed"/>
        <w:tblInd w:w="0" w:type="dxa"/>
        <w:tblCellMar>
          <w:top w:w="0" w:type="dxa"/>
          <w:left w:w="0" w:type="dxa"/>
          <w:bottom w:w="0" w:type="dxa"/>
          <w:right w:w="0" w:type="dxa"/>
        </w:tblCellMar>
      </w:tblPr>
      <w:tr>
        <w:trPr>
          <w:trHeight w:val="231"/>
        </w:trPr>
        <w:tc>
          <w:tcPr>
            <w:tcW w:w="6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1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206</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720" w:type="dxa"/>
            <w:vAlign w:val="bottom"/>
            <w:tcBorders>
              <w:top w:val="single" w:sz="8" w:color="CCEEFF"/>
              <w:bottom w:val="single" w:sz="8" w:color="CCEEFF"/>
            </w:tcBorders>
          </w:tcPr>
          <w:p>
            <w:pPr>
              <w:spacing w:after="0" w:line="202" w:lineRule="exact"/>
              <w:rPr>
                <w:sz w:val="20"/>
                <w:szCs w:val="20"/>
                <w:color w:val="auto"/>
              </w:rPr>
            </w:pPr>
            <w:r>
              <w:rPr>
                <w:rFonts w:ascii="Times New Roman" w:cs="Times New Roman" w:eastAsia="Times New Roman" w:hAnsi="Times New Roman"/>
                <w:sz w:val="18"/>
                <w:szCs w:val="18"/>
                <w:color w:val="auto"/>
              </w:rPr>
              <w:t>Total other income, net</w:t>
            </w:r>
          </w:p>
        </w:tc>
        <w:tc>
          <w:tcPr>
            <w:tcW w:w="19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11,612</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857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 expense</w:t>
            </w:r>
          </w:p>
        </w:tc>
        <w:tc>
          <w:tcPr>
            <w:tcW w:w="19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(18,429</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(48,811</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6720" w:type="dxa"/>
            <w:vAlign w:val="bottom"/>
            <w:tcBorders>
              <w:bottom w:val="single" w:sz="8" w:color="CCEEFF"/>
            </w:tcBorders>
          </w:tcPr>
          <w:p>
            <w:pPr>
              <w:spacing w:after="0" w:line="202" w:lineRule="exact"/>
              <w:rPr>
                <w:sz w:val="20"/>
                <w:szCs w:val="20"/>
                <w:color w:val="auto"/>
              </w:rPr>
            </w:pPr>
            <w:r>
              <w:rPr>
                <w:rFonts w:ascii="Times New Roman" w:cs="Times New Roman" w:eastAsia="Times New Roman" w:hAnsi="Times New Roman"/>
                <w:sz w:val="18"/>
                <w:szCs w:val="18"/>
                <w:color w:val="auto"/>
              </w:rPr>
              <w:t>Income tax expense</w:t>
            </w:r>
          </w:p>
        </w:tc>
        <w:tc>
          <w:tcPr>
            <w:tcW w:w="19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(30</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9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(18,459</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(48,811</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2"/>
        </w:trPr>
        <w:tc>
          <w:tcPr>
            <w:tcW w:w="672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Other comprehensive loss:</w:t>
            </w:r>
          </w:p>
        </w:tc>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Currency translation adjustment, net of tax</w:t>
            </w:r>
          </w:p>
        </w:tc>
        <w:tc>
          <w:tcPr>
            <w:tcW w:w="1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(2,292)</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19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77"/>
        </w:trPr>
        <w:tc>
          <w:tcPr>
            <w:tcW w:w="6720" w:type="dxa"/>
            <w:vAlign w:val="bottom"/>
            <w:vMerge w:val="continue"/>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(18,536</w:t>
            </w:r>
          </w:p>
        </w:tc>
        <w:tc>
          <w:tcPr>
            <w:tcW w:w="140" w:type="dxa"/>
            <w:vAlign w:val="bottom"/>
            <w:vMerge w:val="continue"/>
          </w:tcPr>
          <w:p>
            <w:pPr>
              <w:spacing w:after="0"/>
              <w:rPr>
                <w:sz w:val="24"/>
                <w:szCs w:val="24"/>
                <w:color w:val="auto"/>
              </w:rPr>
            </w:pPr>
          </w:p>
        </w:tc>
        <w:tc>
          <w:tcPr>
            <w:tcW w:w="2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(51,103</w:t>
            </w:r>
          </w:p>
        </w:tc>
        <w:tc>
          <w:tcPr>
            <w:tcW w:w="10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72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19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shares outstanding, basic and diluted</w:t>
            </w:r>
          </w:p>
        </w:tc>
        <w:tc>
          <w:tcPr>
            <w:tcW w:w="1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2"/>
        </w:trPr>
        <w:tc>
          <w:tcPr>
            <w:tcW w:w="6720" w:type="dxa"/>
            <w:vAlign w:val="bottom"/>
            <w:vMerge w:val="continue"/>
          </w:tcPr>
          <w:p>
            <w:pPr>
              <w:spacing w:after="0"/>
              <w:rPr>
                <w:sz w:val="19"/>
                <w:szCs w:val="19"/>
                <w:color w:val="auto"/>
              </w:rPr>
            </w:pPr>
          </w:p>
        </w:tc>
        <w:tc>
          <w:tcPr>
            <w:tcW w:w="19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16,164,338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15,384,704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type w:val="continuous"/>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U.S. Dollars, unless otherwise stated)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15"/>
        </w:trPr>
        <w:tc>
          <w:tcPr>
            <w:tcW w:w="3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c>
          <w:tcPr>
            <w:tcW w:w="0" w:type="dxa"/>
            <w:vAlign w:val="bottom"/>
          </w:tcPr>
          <w:p>
            <w:pPr>
              <w:spacing w:after="0"/>
              <w:rPr>
                <w:sz w:val="1"/>
                <w:szCs w:val="1"/>
                <w:color w:val="auto"/>
              </w:rPr>
            </w:pPr>
          </w:p>
        </w:tc>
      </w:tr>
      <w:tr>
        <w:trPr>
          <w:trHeight w:val="215"/>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34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34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45"/>
        </w:trPr>
        <w:tc>
          <w:tcPr>
            <w:tcW w:w="3280" w:type="dxa"/>
            <w:vAlign w:val="bottom"/>
            <w:vMerge w:val="continue"/>
          </w:tcPr>
          <w:p>
            <w:pPr>
              <w:spacing w:after="0"/>
              <w:rPr>
                <w:sz w:val="21"/>
                <w:szCs w:val="21"/>
                <w:color w:val="auto"/>
              </w:rPr>
            </w:pPr>
          </w:p>
        </w:tc>
        <w:tc>
          <w:tcPr>
            <w:tcW w:w="2340" w:type="dxa"/>
            <w:vAlign w:val="bottom"/>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paid-in capital</w:t>
            </w:r>
          </w:p>
        </w:tc>
        <w:tc>
          <w:tcPr>
            <w:tcW w:w="134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134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reserve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0" w:type="dxa"/>
            <w:vAlign w:val="bottom"/>
          </w:tcPr>
          <w:p>
            <w:pPr>
              <w:spacing w:after="0"/>
              <w:rPr>
                <w:sz w:val="1"/>
                <w:szCs w:val="1"/>
                <w:color w:val="auto"/>
              </w:rPr>
            </w:pPr>
          </w:p>
        </w:tc>
      </w:tr>
      <w:tr>
        <w:trPr>
          <w:trHeight w:val="236"/>
        </w:trPr>
        <w:tc>
          <w:tcPr>
            <w:tcW w:w="3280" w:type="dxa"/>
            <w:vAlign w:val="bottom"/>
          </w:tcPr>
          <w:p>
            <w:pPr>
              <w:spacing w:after="0"/>
              <w:rPr>
                <w:sz w:val="20"/>
                <w:szCs w:val="20"/>
                <w:color w:val="auto"/>
              </w:rPr>
            </w:pPr>
          </w:p>
        </w:tc>
        <w:tc>
          <w:tcPr>
            <w:tcW w:w="1380" w:type="dxa"/>
            <w:vAlign w:val="bottom"/>
            <w:tcBorders>
              <w:top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960" w:type="dxa"/>
            <w:vAlign w:val="bottom"/>
            <w:tcBorders>
              <w:top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328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CEEFF"/>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2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2022</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12,926,349</w:t>
            </w: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69,074</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(43,401)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w:t>
            </w:r>
          </w:p>
        </w:tc>
        <w:tc>
          <w:tcPr>
            <w:tcW w:w="9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5"/>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issued to advisors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476</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15"/>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Option placements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5"/>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2,148</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2,148</w:t>
            </w:r>
          </w:p>
        </w:tc>
        <w:tc>
          <w:tcPr>
            <w:tcW w:w="0" w:type="dxa"/>
            <w:vAlign w:val="bottom"/>
          </w:tcPr>
          <w:p>
            <w:pPr>
              <w:spacing w:after="0"/>
              <w:rPr>
                <w:sz w:val="1"/>
                <w:szCs w:val="1"/>
                <w:color w:val="auto"/>
              </w:rPr>
            </w:pPr>
          </w:p>
        </w:tc>
      </w:tr>
      <w:tr>
        <w:trPr>
          <w:trHeight w:val="215"/>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Share placements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634,146</w:t>
            </w:r>
          </w:p>
        </w:tc>
        <w:tc>
          <w:tcPr>
            <w:tcW w:w="9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8,830</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8,830</w:t>
            </w:r>
          </w:p>
        </w:tc>
        <w:tc>
          <w:tcPr>
            <w:tcW w:w="0" w:type="dxa"/>
            <w:vAlign w:val="bottom"/>
          </w:tcPr>
          <w:p>
            <w:pPr>
              <w:spacing w:after="0"/>
              <w:rPr>
                <w:sz w:val="1"/>
                <w:szCs w:val="1"/>
                <w:color w:val="auto"/>
              </w:rPr>
            </w:pPr>
          </w:p>
        </w:tc>
      </w:tr>
      <w:tr>
        <w:trPr>
          <w:trHeight w:val="215"/>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issued to advisors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130,902</w:t>
            </w: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2,050</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2,050</w:t>
            </w:r>
          </w:p>
        </w:tc>
        <w:tc>
          <w:tcPr>
            <w:tcW w:w="0" w:type="dxa"/>
            <w:vAlign w:val="bottom"/>
          </w:tcPr>
          <w:p>
            <w:pPr>
              <w:spacing w:after="0"/>
              <w:rPr>
                <w:sz w:val="1"/>
                <w:szCs w:val="1"/>
                <w:color w:val="auto"/>
              </w:rPr>
            </w:pPr>
          </w:p>
        </w:tc>
      </w:tr>
      <w:tr>
        <w:trPr>
          <w:trHeight w:val="215"/>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Asset acquisition shares issued</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2,181,695</w:t>
            </w:r>
          </w:p>
        </w:tc>
        <w:tc>
          <w:tcPr>
            <w:tcW w:w="9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34,170</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34,171</w:t>
            </w:r>
          </w:p>
        </w:tc>
        <w:tc>
          <w:tcPr>
            <w:tcW w:w="0" w:type="dxa"/>
            <w:vAlign w:val="bottom"/>
          </w:tcPr>
          <w:p>
            <w:pPr>
              <w:spacing w:after="0"/>
              <w:rPr>
                <w:sz w:val="1"/>
                <w:szCs w:val="1"/>
                <w:color w:val="auto"/>
              </w:rPr>
            </w:pPr>
          </w:p>
        </w:tc>
      </w:tr>
      <w:tr>
        <w:trPr>
          <w:trHeight w:val="215"/>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costs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(530)</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(530)</w:t>
            </w:r>
          </w:p>
        </w:tc>
        <w:tc>
          <w:tcPr>
            <w:tcW w:w="0" w:type="dxa"/>
            <w:vAlign w:val="bottom"/>
          </w:tcPr>
          <w:p>
            <w:pPr>
              <w:spacing w:after="0"/>
              <w:rPr>
                <w:sz w:val="1"/>
                <w:szCs w:val="1"/>
                <w:color w:val="auto"/>
              </w:rPr>
            </w:pPr>
          </w:p>
        </w:tc>
      </w:tr>
      <w:tr>
        <w:trPr>
          <w:trHeight w:val="215"/>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(48,811)</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(48,811)</w:t>
            </w:r>
          </w:p>
        </w:tc>
        <w:tc>
          <w:tcPr>
            <w:tcW w:w="0" w:type="dxa"/>
            <w:vAlign w:val="bottom"/>
          </w:tcPr>
          <w:p>
            <w:pPr>
              <w:spacing w:after="0"/>
              <w:rPr>
                <w:sz w:val="1"/>
                <w:szCs w:val="1"/>
                <w:color w:val="auto"/>
              </w:rPr>
            </w:pPr>
          </w:p>
        </w:tc>
      </w:tr>
      <w:tr>
        <w:trPr>
          <w:trHeight w:val="24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 net of tax</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(2,292)</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(2,292)</w:t>
            </w:r>
          </w:p>
        </w:tc>
        <w:tc>
          <w:tcPr>
            <w:tcW w:w="0" w:type="dxa"/>
            <w:vAlign w:val="bottom"/>
          </w:tcPr>
          <w:p>
            <w:pPr>
              <w:spacing w:after="0"/>
              <w:rPr>
                <w:sz w:val="1"/>
                <w:szCs w:val="1"/>
                <w:color w:val="auto"/>
              </w:rPr>
            </w:pPr>
          </w:p>
        </w:tc>
      </w:tr>
      <w:tr>
        <w:trPr>
          <w:trHeight w:val="202"/>
        </w:trPr>
        <w:tc>
          <w:tcPr>
            <w:tcW w:w="3280" w:type="dxa"/>
            <w:vAlign w:val="bottom"/>
            <w:tcBorders>
              <w:top w:val="single" w:sz="8" w:color="CCEEFF"/>
            </w:tcBorders>
          </w:tcPr>
          <w:p>
            <w:pPr>
              <w:spacing w:after="0" w:line="202" w:lineRule="exact"/>
              <w:rPr>
                <w:sz w:val="20"/>
                <w:szCs w:val="20"/>
                <w:color w:val="auto"/>
              </w:rPr>
            </w:pPr>
            <w:r>
              <w:rPr>
                <w:rFonts w:ascii="Times New Roman" w:cs="Times New Roman" w:eastAsia="Times New Roman" w:hAnsi="Times New Roman"/>
                <w:sz w:val="18"/>
                <w:szCs w:val="18"/>
                <w:color w:val="auto"/>
              </w:rPr>
              <w:t>Balance at June 30, 2023</w:t>
            </w:r>
          </w:p>
        </w:tc>
        <w:tc>
          <w:tcPr>
            <w:tcW w:w="114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15,873,113</w:t>
            </w:r>
          </w:p>
        </w:tc>
        <w:tc>
          <w:tcPr>
            <w:tcW w:w="24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116,290</w:t>
            </w: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(92,212)</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(3,255)</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20,825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8,928</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8,928</w:t>
            </w:r>
          </w:p>
        </w:tc>
        <w:tc>
          <w:tcPr>
            <w:tcW w:w="0" w:type="dxa"/>
            <w:vAlign w:val="bottom"/>
          </w:tcPr>
          <w:p>
            <w:pPr>
              <w:spacing w:after="0"/>
              <w:rPr>
                <w:sz w:val="1"/>
                <w:szCs w:val="1"/>
                <w:color w:val="auto"/>
              </w:rPr>
            </w:pPr>
          </w:p>
        </w:tc>
      </w:tr>
      <w:tr>
        <w:trPr>
          <w:trHeight w:val="215"/>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to directors and employees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1,769,719</w:t>
            </w:r>
          </w:p>
        </w:tc>
        <w:tc>
          <w:tcPr>
            <w:tcW w:w="9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(18,459)</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(18,459)</w:t>
            </w:r>
          </w:p>
        </w:tc>
        <w:tc>
          <w:tcPr>
            <w:tcW w:w="0" w:type="dxa"/>
            <w:vAlign w:val="bottom"/>
          </w:tcPr>
          <w:p>
            <w:pPr>
              <w:spacing w:after="0"/>
              <w:rPr>
                <w:sz w:val="1"/>
                <w:szCs w:val="1"/>
                <w:color w:val="auto"/>
              </w:rPr>
            </w:pPr>
          </w:p>
        </w:tc>
      </w:tr>
      <w:tr>
        <w:trPr>
          <w:trHeight w:val="22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adjustment, net of tax</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7"/>
        </w:trPr>
        <w:tc>
          <w:tcPr>
            <w:tcW w:w="3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2024</w:t>
            </w: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328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17,642,832</w:t>
            </w:r>
          </w:p>
        </w:tc>
        <w:tc>
          <w:tcPr>
            <w:tcW w:w="960" w:type="dxa"/>
            <w:vAlign w:val="bottom"/>
            <w:shd w:val="clear" w:color="auto" w:fill="CCEEFF"/>
          </w:tcPr>
          <w:p>
            <w:pPr>
              <w:spacing w:after="0"/>
              <w:rPr>
                <w:sz w:val="21"/>
                <w:szCs w:val="21"/>
                <w:color w:val="auto"/>
              </w:rPr>
            </w:pP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125,218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(110,671</w:t>
            </w:r>
          </w:p>
        </w:tc>
        <w:tc>
          <w:tcPr>
            <w:tcW w:w="220" w:type="dxa"/>
            <w:vAlign w:val="bottom"/>
            <w:vMerge w:val="continue"/>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220" w:type="dxa"/>
            <w:vAlign w:val="bottom"/>
            <w:vMerge w:val="continue"/>
            <w:shd w:val="clear" w:color="auto" w:fill="CCEEFF"/>
          </w:tcPr>
          <w:p>
            <w:pPr>
              <w:spacing w:after="0"/>
              <w:rPr>
                <w:sz w:val="21"/>
                <w:szCs w:val="21"/>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11,217</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(expressed in U.S. Dollars, unless otherwise stated)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0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gridSpan w:val="6"/>
          </w:tcPr>
          <w:p>
            <w:pPr>
              <w:jc w:val="right"/>
              <w:ind w:right="321"/>
              <w:spacing w:after="0"/>
              <w:rPr>
                <w:sz w:val="20"/>
                <w:szCs w:val="20"/>
                <w:color w:val="auto"/>
              </w:rPr>
            </w:pPr>
            <w:r>
              <w:rPr>
                <w:rFonts w:ascii="Times New Roman" w:cs="Times New Roman" w:eastAsia="Times New Roman" w:hAnsi="Times New Roman"/>
                <w:sz w:val="18"/>
                <w:szCs w:val="18"/>
                <w:b w:val="1"/>
                <w:bCs w:val="1"/>
                <w:color w:val="auto"/>
              </w:rPr>
              <w:t>For the fiscal year ended</w:t>
            </w:r>
          </w:p>
        </w:tc>
        <w:tc>
          <w:tcPr>
            <w:tcW w:w="0" w:type="dxa"/>
            <w:vAlign w:val="bottom"/>
          </w:tcPr>
          <w:p>
            <w:pPr>
              <w:spacing w:after="0"/>
              <w:rPr>
                <w:sz w:val="1"/>
                <w:szCs w:val="1"/>
                <w:color w:val="auto"/>
              </w:rPr>
            </w:pPr>
          </w:p>
        </w:tc>
      </w:tr>
      <w:tr>
        <w:trPr>
          <w:trHeight w:val="245"/>
        </w:trPr>
        <w:tc>
          <w:tcPr>
            <w:tcW w:w="7040" w:type="dxa"/>
            <w:vAlign w:val="bottom"/>
            <w:vMerge w:val="continue"/>
          </w:tcPr>
          <w:p>
            <w:pPr>
              <w:spacing w:after="0"/>
              <w:rPr>
                <w:sz w:val="21"/>
                <w:szCs w:val="21"/>
                <w:color w:val="auto"/>
              </w:rPr>
            </w:pPr>
          </w:p>
        </w:tc>
        <w:tc>
          <w:tcPr>
            <w:tcW w:w="16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(18,459)</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(48,811)</w:t>
            </w:r>
          </w:p>
        </w:tc>
        <w:tc>
          <w:tcPr>
            <w:tcW w:w="0" w:type="dxa"/>
            <w:vAlign w:val="bottom"/>
          </w:tcPr>
          <w:p>
            <w:pPr>
              <w:spacing w:after="0"/>
              <w:rPr>
                <w:sz w:val="1"/>
                <w:szCs w:val="1"/>
                <w:color w:val="auto"/>
              </w:rPr>
            </w:pPr>
          </w:p>
        </w:tc>
      </w:tr>
      <w:tr>
        <w:trPr>
          <w:trHeight w:val="215"/>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5"/>
        </w:trPr>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8,928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2,149</w:t>
            </w:r>
          </w:p>
        </w:tc>
        <w:tc>
          <w:tcPr>
            <w:tcW w:w="0" w:type="dxa"/>
            <w:vAlign w:val="bottom"/>
          </w:tcPr>
          <w:p>
            <w:pPr>
              <w:spacing w:after="0"/>
              <w:rPr>
                <w:sz w:val="1"/>
                <w:szCs w:val="1"/>
                <w:color w:val="auto"/>
              </w:rPr>
            </w:pPr>
          </w:p>
        </w:tc>
      </w:tr>
      <w:tr>
        <w:trPr>
          <w:trHeight w:val="215"/>
        </w:trPr>
        <w:tc>
          <w:tcPr>
            <w:tcW w:w="7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Unrealized losses/(gains) on foreign currency remeasurement</w:t>
            </w: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369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w:t>
            </w:r>
          </w:p>
        </w:tc>
        <w:tc>
          <w:tcPr>
            <w:tcW w:w="0" w:type="dxa"/>
            <w:vAlign w:val="bottom"/>
          </w:tcPr>
          <w:p>
            <w:pPr>
              <w:spacing w:after="0"/>
              <w:rPr>
                <w:sz w:val="1"/>
                <w:szCs w:val="1"/>
                <w:color w:val="auto"/>
              </w:rPr>
            </w:pPr>
          </w:p>
        </w:tc>
      </w:tr>
      <w:tr>
        <w:trPr>
          <w:trHeight w:val="215"/>
        </w:trPr>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R&amp;D tax incentive receivable</w:t>
            </w: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(9,837)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7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Trade and other payables</w:t>
            </w: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3,023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1,104</w:t>
            </w:r>
          </w:p>
        </w:tc>
        <w:tc>
          <w:tcPr>
            <w:tcW w:w="0" w:type="dxa"/>
            <w:vAlign w:val="bottom"/>
          </w:tcPr>
          <w:p>
            <w:pPr>
              <w:spacing w:after="0"/>
              <w:rPr>
                <w:sz w:val="1"/>
                <w:szCs w:val="1"/>
                <w:color w:val="auto"/>
              </w:rPr>
            </w:pPr>
          </w:p>
        </w:tc>
      </w:tr>
      <w:tr>
        <w:trPr>
          <w:trHeight w:val="236"/>
        </w:trPr>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 of in-process research and development</w:t>
            </w: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35,347</w:t>
            </w:r>
          </w:p>
        </w:tc>
        <w:tc>
          <w:tcPr>
            <w:tcW w:w="0" w:type="dxa"/>
            <w:vAlign w:val="bottom"/>
          </w:tcPr>
          <w:p>
            <w:pPr>
              <w:spacing w:after="0"/>
              <w:rPr>
                <w:sz w:val="1"/>
                <w:szCs w:val="1"/>
                <w:color w:val="auto"/>
              </w:rPr>
            </w:pPr>
          </w:p>
        </w:tc>
      </w:tr>
      <w:tr>
        <w:trPr>
          <w:trHeight w:val="235"/>
        </w:trPr>
        <w:tc>
          <w:tcPr>
            <w:tcW w:w="7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(15,845</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(10,749</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2"/>
        </w:trPr>
        <w:tc>
          <w:tcPr>
            <w:tcW w:w="704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Cash flows from investing activities:</w:t>
            </w:r>
          </w:p>
        </w:tc>
        <w:tc>
          <w:tcPr>
            <w:tcW w:w="1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3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(277)</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15"/>
        </w:trPr>
        <w:tc>
          <w:tcPr>
            <w:tcW w:w="7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6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issuance of shares of common stock, net of issuance costs</w:t>
            </w:r>
          </w:p>
        </w:tc>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8,175</w:t>
            </w:r>
          </w:p>
        </w:tc>
        <w:tc>
          <w:tcPr>
            <w:tcW w:w="0" w:type="dxa"/>
            <w:vAlign w:val="bottom"/>
          </w:tcPr>
          <w:p>
            <w:pPr>
              <w:spacing w:after="0"/>
              <w:rPr>
                <w:sz w:val="1"/>
                <w:szCs w:val="1"/>
                <w:color w:val="auto"/>
              </w:rPr>
            </w:pPr>
          </w:p>
        </w:tc>
      </w:tr>
      <w:tr>
        <w:trPr>
          <w:trHeight w:val="249"/>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6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8,175</w:t>
            </w:r>
          </w:p>
        </w:tc>
        <w:tc>
          <w:tcPr>
            <w:tcW w:w="0" w:type="dxa"/>
            <w:vAlign w:val="bottom"/>
          </w:tcPr>
          <w:p>
            <w:pPr>
              <w:spacing w:after="0"/>
              <w:rPr>
                <w:sz w:val="1"/>
                <w:szCs w:val="1"/>
                <w:color w:val="auto"/>
              </w:rPr>
            </w:pPr>
          </w:p>
        </w:tc>
      </w:tr>
      <w:tr>
        <w:trPr>
          <w:trHeight w:val="202"/>
        </w:trPr>
        <w:tc>
          <w:tcPr>
            <w:tcW w:w="7040" w:type="dxa"/>
            <w:vAlign w:val="bottom"/>
            <w:tcBorders>
              <w:top w:val="single" w:sz="8" w:color="CCEEFF"/>
            </w:tcBorders>
          </w:tcPr>
          <w:p>
            <w:pPr>
              <w:spacing w:after="0" w:line="202" w:lineRule="exact"/>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6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(140)</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(824)</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(decrease)/increase in cash and cash equivalents</w:t>
            </w:r>
          </w:p>
        </w:tc>
        <w:tc>
          <w:tcPr>
            <w:tcW w:w="1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(16,122)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w:t>
            </w:r>
          </w:p>
        </w:tc>
        <w:tc>
          <w:tcPr>
            <w:tcW w:w="0" w:type="dxa"/>
            <w:vAlign w:val="bottom"/>
          </w:tcPr>
          <w:p>
            <w:pPr>
              <w:spacing w:after="0"/>
              <w:rPr>
                <w:sz w:val="1"/>
                <w:szCs w:val="1"/>
                <w:color w:val="auto"/>
              </w:rPr>
            </w:pPr>
          </w:p>
        </w:tc>
      </w:tr>
      <w:tr>
        <w:trPr>
          <w:trHeight w:val="236"/>
        </w:trPr>
        <w:tc>
          <w:tcPr>
            <w:tcW w:w="7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6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22,120</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25,834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5,858</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22,120</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color w:val="auto"/>
        </w:rPr>
        <w:t>INCANNEX HEALTHCARE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Notes To Audited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30, 2024 and 2023</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Redomiciliation and Business</w:t>
      </w:r>
    </w:p>
    <w:p>
      <w:pPr>
        <w:spacing w:after="0" w:line="228" w:lineRule="exact"/>
        <w:rPr>
          <w:sz w:val="20"/>
          <w:szCs w:val="20"/>
          <w:color w:val="auto"/>
        </w:rPr>
      </w:pPr>
    </w:p>
    <w:p>
      <w:pPr>
        <w:ind w:right="20" w:firstLine="646"/>
        <w:spacing w:after="0" w:line="260" w:lineRule="auto"/>
        <w:rPr>
          <w:sz w:val="20"/>
          <w:szCs w:val="20"/>
          <w:color w:val="auto"/>
        </w:rPr>
      </w:pPr>
      <w:r>
        <w:rPr>
          <w:rFonts w:ascii="Times New Roman" w:cs="Times New Roman" w:eastAsia="Times New Roman" w:hAnsi="Times New Roman"/>
          <w:sz w:val="18"/>
          <w:szCs w:val="18"/>
          <w:color w:val="auto"/>
        </w:rPr>
        <w:t>Incannex Healthcare Inc. (“Incannex”) is a corporation formed under the laws of the State of Delaware in July 2023. In November 2023, Incannex. acquired all the outstanding ordinary shares of Incannex Healthcare Limited, an Australian corporation (“Incannex Australia”), pursuant to a scheme of arrangement under Australian law. As a result of the redomiciliation, Incannex Australia became a wholly-owned subsidiary of Incannex, which is the new ultimate parent company.</w:t>
      </w:r>
    </w:p>
    <w:p>
      <w:pPr>
        <w:spacing w:after="0" w:line="181" w:lineRule="exact"/>
        <w:rPr>
          <w:sz w:val="20"/>
          <w:szCs w:val="20"/>
          <w:color w:val="auto"/>
        </w:rPr>
      </w:pPr>
    </w:p>
    <w:p>
      <w:pPr>
        <w:ind w:firstLine="646"/>
        <w:spacing w:after="0" w:line="260" w:lineRule="auto"/>
        <w:rPr>
          <w:sz w:val="20"/>
          <w:szCs w:val="20"/>
          <w:color w:val="auto"/>
        </w:rPr>
      </w:pPr>
      <w:r>
        <w:rPr>
          <w:rFonts w:ascii="Times New Roman" w:cs="Times New Roman" w:eastAsia="Times New Roman" w:hAnsi="Times New Roman"/>
          <w:sz w:val="18"/>
          <w:szCs w:val="18"/>
          <w:color w:val="auto"/>
        </w:rPr>
        <w:t>Until the redomiciliation, Incannex Australia’s ordinary shares were listed on the Australian Securities Exchange (“ASX”) and American Depositary Shares (“ADSs”), each representing 25 ordinary shares of Incannex Australia, traded on the Nasdaq Global Market. Following completion of the redomiciliation, Incannex Australia’s ordinary shares were delisted from the ASX and Incannex assumed Incannex Australia’s listing on the Nasdaq Global Market.</w:t>
      </w:r>
    </w:p>
    <w:p>
      <w:pPr>
        <w:spacing w:after="0" w:line="181" w:lineRule="exact"/>
        <w:rPr>
          <w:sz w:val="20"/>
          <w:szCs w:val="20"/>
          <w:color w:val="auto"/>
        </w:rPr>
      </w:pPr>
    </w:p>
    <w:p>
      <w:pPr>
        <w:ind w:right="180" w:firstLine="646"/>
        <w:spacing w:after="0" w:line="265" w:lineRule="auto"/>
        <w:rPr>
          <w:sz w:val="20"/>
          <w:szCs w:val="20"/>
          <w:color w:val="auto"/>
        </w:rPr>
      </w:pPr>
      <w:r>
        <w:rPr>
          <w:rFonts w:ascii="Times New Roman" w:cs="Times New Roman" w:eastAsia="Times New Roman" w:hAnsi="Times New Roman"/>
          <w:sz w:val="18"/>
          <w:szCs w:val="18"/>
          <w:color w:val="auto"/>
        </w:rPr>
        <w:t>Pursuant to the redomiciliation, holders of Incannex Australia’s ordinary shares received one share of common stock in Incannex for every 100 ordinary shares held in Incannex Australia and holders of ADSs in Incannex Australia received one share of common stock of Incannex for every 4 ADSs held in Incannex Australia.</w:t>
      </w:r>
    </w:p>
    <w:p>
      <w:pPr>
        <w:spacing w:after="0" w:line="176" w:lineRule="exact"/>
        <w:rPr>
          <w:sz w:val="20"/>
          <w:szCs w:val="20"/>
          <w:color w:val="auto"/>
        </w:rPr>
      </w:pPr>
    </w:p>
    <w:p>
      <w:pPr>
        <w:ind w:right="420" w:firstLine="646"/>
        <w:spacing w:after="0" w:line="281" w:lineRule="auto"/>
        <w:rPr>
          <w:sz w:val="20"/>
          <w:szCs w:val="20"/>
          <w:color w:val="auto"/>
        </w:rPr>
      </w:pPr>
      <w:r>
        <w:rPr>
          <w:rFonts w:ascii="Times New Roman" w:cs="Times New Roman" w:eastAsia="Times New Roman" w:hAnsi="Times New Roman"/>
          <w:sz w:val="18"/>
          <w:szCs w:val="18"/>
          <w:color w:val="auto"/>
        </w:rPr>
        <w:t>The issued and outstanding shares of our common stock as shown in this report have been adjusted in the consolidated financial statements to reflect the 100:1 exchange ratio as if it had occurred on July 1, 2022.</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Incannex and its subsidiaries are referred to as “the Company” unless the text otherwise requires.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fiscal year end is June 30. References to a particular “fiscal year” are to the Company’s fiscal year ended June 30 of that calendar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w:t>
      </w:r>
    </w:p>
    <w:p>
      <w:pPr>
        <w:spacing w:after="0" w:line="206" w:lineRule="exact"/>
        <w:rPr>
          <w:sz w:val="20"/>
          <w:szCs w:val="20"/>
          <w:color w:val="auto"/>
        </w:rPr>
      </w:pPr>
    </w:p>
    <w:p>
      <w:pPr>
        <w:ind w:right="300" w:firstLine="646"/>
        <w:spacing w:after="0" w:line="281" w:lineRule="auto"/>
        <w:rPr>
          <w:sz w:val="20"/>
          <w:szCs w:val="20"/>
          <w:color w:val="auto"/>
        </w:rPr>
      </w:pPr>
      <w:r>
        <w:rPr>
          <w:rFonts w:ascii="Times New Roman" w:cs="Times New Roman" w:eastAsia="Times New Roman" w:hAnsi="Times New Roman"/>
          <w:sz w:val="18"/>
          <w:szCs w:val="18"/>
          <w:color w:val="auto"/>
        </w:rPr>
        <w:t>The consolidated financial statements of the Company are presented in United States dollars and consist of Incannex and the following wholly-owned subsidiaries: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080" w:type="dxa"/>
            <w:vAlign w:val="bottom"/>
            <w:tcBorders>
              <w:bottom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5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r>
      <w:tr>
        <w:trPr>
          <w:trHeight w:val="215"/>
        </w:trPr>
        <w:tc>
          <w:tcPr>
            <w:tcW w:w="4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15"/>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Incannex Healthcare Pty Ltd</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Victoria, Australia</w:t>
            </w:r>
          </w:p>
        </w:tc>
      </w:tr>
      <w:tr>
        <w:trPr>
          <w:trHeight w:val="215"/>
        </w:trPr>
        <w:tc>
          <w:tcPr>
            <w:tcW w:w="4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15"/>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Incannex Pty Ltd</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Victoria, Australia</w:t>
            </w:r>
          </w:p>
        </w:tc>
      </w:tr>
      <w:tr>
        <w:trPr>
          <w:trHeight w:val="215"/>
        </w:trPr>
        <w:tc>
          <w:tcPr>
            <w:tcW w:w="4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15"/>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Psychennex Pty Ltd</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Victoria, Australia</w:t>
            </w:r>
          </w:p>
        </w:tc>
      </w:tr>
      <w:tr>
        <w:trPr>
          <w:trHeight w:val="215"/>
        </w:trPr>
        <w:tc>
          <w:tcPr>
            <w:tcW w:w="4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15"/>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APIRx Pharmaceutical USA, LLC</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5"/>
        </w:trPr>
        <w:tc>
          <w:tcPr>
            <w:tcW w:w="4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15"/>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APIRx Pharmaceuticals Holding BV</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IJsselstein, Netherlands</w:t>
            </w:r>
          </w:p>
        </w:tc>
      </w:tr>
      <w:tr>
        <w:trPr>
          <w:trHeight w:val="215"/>
        </w:trPr>
        <w:tc>
          <w:tcPr>
            <w:tcW w:w="4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15"/>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Clarion Clinics Group Pty Ltd</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Victoria, Australia</w:t>
            </w:r>
          </w:p>
        </w:tc>
      </w:tr>
      <w:tr>
        <w:trPr>
          <w:trHeight w:val="215"/>
        </w:trPr>
        <w:tc>
          <w:tcPr>
            <w:tcW w:w="4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15"/>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Clarion Model Clinic Pty Ltd</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Victoria, Australia</w:t>
            </w:r>
          </w:p>
        </w:tc>
      </w:tr>
      <w:tr>
        <w:trPr>
          <w:trHeight w:val="215"/>
        </w:trPr>
        <w:tc>
          <w:tcPr>
            <w:tcW w:w="4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500" w:type="dxa"/>
            <w:vAlign w:val="bottom"/>
          </w:tcPr>
          <w:p>
            <w:pPr>
              <w:spacing w:after="0"/>
              <w:rPr>
                <w:sz w:val="18"/>
                <w:szCs w:val="18"/>
                <w:color w:val="auto"/>
              </w:rPr>
            </w:pPr>
          </w:p>
        </w:tc>
      </w:tr>
      <w:tr>
        <w:trPr>
          <w:trHeight w:val="215"/>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Psychennex Licensing and Franchising Pty Ltd</w:t>
            </w: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Victoria, Australia</w:t>
            </w:r>
          </w:p>
        </w:tc>
      </w:tr>
      <w:tr>
        <w:trPr>
          <w:trHeight w:val="653"/>
        </w:trPr>
        <w:tc>
          <w:tcPr>
            <w:tcW w:w="4440" w:type="dxa"/>
            <w:vAlign w:val="bottom"/>
            <w:tcBorders>
              <w:bottom w:val="single" w:sz="8" w:color="auto"/>
            </w:tcBorders>
          </w:tcPr>
          <w:p>
            <w:pPr>
              <w:spacing w:after="0"/>
              <w:rPr>
                <w:sz w:val="24"/>
                <w:szCs w:val="24"/>
                <w:color w:val="auto"/>
              </w:rPr>
            </w:pPr>
          </w:p>
        </w:tc>
        <w:tc>
          <w:tcPr>
            <w:tcW w:w="6800" w:type="dxa"/>
            <w:vAlign w:val="bottom"/>
            <w:tcBorders>
              <w:bottom w:val="single" w:sz="8" w:color="auto"/>
            </w:tcBorders>
            <w:gridSpan w:val="3"/>
          </w:tcPr>
          <w:p>
            <w:pPr>
              <w:ind w:left="1060"/>
              <w:spacing w:after="0"/>
              <w:rPr>
                <w:sz w:val="20"/>
                <w:szCs w:val="20"/>
                <w:color w:val="auto"/>
              </w:rPr>
            </w:pPr>
            <w:r>
              <w:rPr>
                <w:rFonts w:ascii="Times New Roman" w:cs="Times New Roman" w:eastAsia="Times New Roman" w:hAnsi="Times New Roman"/>
                <w:sz w:val="18"/>
                <w:szCs w:val="18"/>
                <w:color w:val="auto"/>
              </w:rPr>
              <w:t>F-7</w:t>
            </w:r>
          </w:p>
        </w:tc>
      </w:tr>
    </w:tbl>
    <w:p>
      <w:pPr>
        <w:sectPr>
          <w:pgSz w:w="11900" w:h="16838" w:orient="portrait"/>
          <w:cols w:equalWidth="0" w:num="1">
            <w:col w:w="11240"/>
          </w:cols>
          <w:pgMar w:left="320" w:top="875"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i w:val="1"/>
          <w:iCs w:val="1"/>
          <w:u w:val="single" w:color="auto"/>
          <w:color w:val="auto"/>
        </w:rPr>
        <w:t>Description of Business</w:t>
      </w:r>
    </w:p>
    <w:p>
      <w:pPr>
        <w:spacing w:after="0" w:line="226" w:lineRule="exact"/>
        <w:rPr>
          <w:sz w:val="20"/>
          <w:szCs w:val="20"/>
          <w:color w:val="auto"/>
        </w:rPr>
      </w:pPr>
    </w:p>
    <w:p>
      <w:pPr>
        <w:ind w:right="120" w:firstLine="646"/>
        <w:spacing w:after="0" w:line="257" w:lineRule="auto"/>
        <w:rPr>
          <w:sz w:val="20"/>
          <w:szCs w:val="20"/>
          <w:color w:val="auto"/>
        </w:rPr>
      </w:pPr>
      <w:r>
        <w:rPr>
          <w:rFonts w:ascii="Times New Roman" w:cs="Times New Roman" w:eastAsia="Times New Roman" w:hAnsi="Times New Roman"/>
          <w:sz w:val="18"/>
          <w:szCs w:val="18"/>
          <w:color w:val="auto"/>
        </w:rPr>
        <w:t>The Company is a clinical-stage biopharmaceutical development company dedicated to developing innovative medicines for patients living with serious chronic diseases and significant unmet needs. The Company’s lead drug candidates, which are currently in Phase 2/3 and Phase 2 clinical developments, include IHL-42X for the treatment of obstructive sleep apnea (“OSA”); PSX-001, the Company’s psilocybin treatment in combination with psychological therapy in development to treat patients with generalized anxiety disorder (“GAD”); and IHL-675A for rheumatoid arthritis. Each of these programs target conditions that currently have limited, inadequate, or no approved pharmaceutical treatment options.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8" w:lineRule="exact"/>
        <w:rPr>
          <w:sz w:val="20"/>
          <w:szCs w:val="20"/>
          <w:color w:val="auto"/>
        </w:rPr>
      </w:pPr>
    </w:p>
    <w:p>
      <w:pPr>
        <w:ind w:right="220" w:firstLine="646"/>
        <w:spacing w:after="0" w:line="255" w:lineRule="auto"/>
        <w:rPr>
          <w:sz w:val="20"/>
          <w:szCs w:val="20"/>
          <w:color w:val="auto"/>
        </w:rPr>
      </w:pPr>
      <w:r>
        <w:rPr>
          <w:rFonts w:ascii="Times New Roman" w:cs="Times New Roman" w:eastAsia="Times New Roman" w:hAnsi="Times New Roman"/>
          <w:sz w:val="18"/>
          <w:szCs w:val="18"/>
          <w:color w:val="auto"/>
        </w:rPr>
        <w:t>On November 28, 2023, the Company implemented the transaction to redomicile from Australia to United States and became the parent of Incannex Australia and the wholly-owned subsidiaries listed in Note 1 – “Redomiciliation and Business.” The historical financial statements of Incannex Australia became the historical financial statements of the combined company upon consummation of the redomiciliation. As a result, the financial statements included in this report reflect (i) the historical operating results of Incannex Australia and subsidiaries prior to the redomiciliation; (ii) the combined results of the Company, Incannex Australia, and subsidiaries following the completion of the redomiciliation; and (iii) the Company’s equity structure for all periods presented, including adjusting the issued and outstanding shares of common stock to reflect the 100:1 exchange ratio as if it had occurred on July 1, 2021.</w:t>
      </w:r>
    </w:p>
    <w:p>
      <w:pPr>
        <w:spacing w:after="0" w:line="184" w:lineRule="exact"/>
        <w:rPr>
          <w:sz w:val="20"/>
          <w:szCs w:val="20"/>
          <w:color w:val="auto"/>
        </w:rPr>
      </w:pPr>
    </w:p>
    <w:p>
      <w:pPr>
        <w:ind w:right="240" w:firstLine="646"/>
        <w:spacing w:after="0" w:line="281" w:lineRule="auto"/>
        <w:rPr>
          <w:sz w:val="20"/>
          <w:szCs w:val="20"/>
          <w:color w:val="auto"/>
        </w:rPr>
      </w:pPr>
      <w:r>
        <w:rPr>
          <w:rFonts w:ascii="Times New Roman" w:cs="Times New Roman" w:eastAsia="Times New Roman" w:hAnsi="Times New Roman"/>
          <w:sz w:val="18"/>
          <w:szCs w:val="18"/>
          <w:color w:val="auto"/>
        </w:rPr>
        <w:t>The Company’s consolidated financial statements included in this report have been prepared in accordance with accounting principles generally accepted in the United States of America (“US GAAP”) and pursuant to the rules and regulations of the SEC.</w:t>
      </w:r>
    </w:p>
    <w:p>
      <w:pPr>
        <w:spacing w:after="0" w:line="162" w:lineRule="exact"/>
        <w:rPr>
          <w:sz w:val="20"/>
          <w:szCs w:val="20"/>
          <w:color w:val="auto"/>
        </w:rPr>
      </w:pPr>
    </w:p>
    <w:p>
      <w:pPr>
        <w:ind w:right="20" w:firstLine="646"/>
        <w:spacing w:after="0" w:line="281" w:lineRule="auto"/>
        <w:rPr>
          <w:sz w:val="20"/>
          <w:szCs w:val="20"/>
          <w:color w:val="auto"/>
        </w:rPr>
      </w:pPr>
      <w:r>
        <w:rPr>
          <w:rFonts w:ascii="Times New Roman" w:cs="Times New Roman" w:eastAsia="Times New Roman" w:hAnsi="Times New Roman"/>
          <w:sz w:val="18"/>
          <w:szCs w:val="18"/>
          <w:color w:val="auto"/>
        </w:rPr>
        <w:t>Reference is frequently made herein to the Financial Accounting Standards Board (the “FASB”) Accounting Standards Codification (“ASC”). This is the source of authoritative US GAAP recognized by the FASB to be applied to non-governmental entities.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 basis</w:t>
      </w:r>
    </w:p>
    <w:p>
      <w:pPr>
        <w:spacing w:after="0" w:line="228" w:lineRule="exact"/>
        <w:rPr>
          <w:sz w:val="20"/>
          <w:szCs w:val="20"/>
          <w:color w:val="auto"/>
        </w:rPr>
      </w:pPr>
    </w:p>
    <w:p>
      <w:pPr>
        <w:ind w:right="240" w:firstLine="646"/>
        <w:spacing w:after="0" w:line="281" w:lineRule="auto"/>
        <w:rPr>
          <w:sz w:val="20"/>
          <w:szCs w:val="20"/>
          <w:color w:val="auto"/>
        </w:rPr>
      </w:pPr>
      <w:r>
        <w:rPr>
          <w:rFonts w:ascii="Times New Roman" w:cs="Times New Roman" w:eastAsia="Times New Roman" w:hAnsi="Times New Roman"/>
          <w:sz w:val="18"/>
          <w:szCs w:val="18"/>
          <w:color w:val="auto"/>
        </w:rPr>
        <w:t>The financial report has been prepared on the going concern basis, which assumes continuity of normal business activities and the realisation of assets and the settlement of liabilities in the ordinary course of business.</w:t>
      </w:r>
    </w:p>
    <w:p>
      <w:pPr>
        <w:spacing w:after="0" w:line="162" w:lineRule="exact"/>
        <w:rPr>
          <w:sz w:val="20"/>
          <w:szCs w:val="20"/>
          <w:color w:val="auto"/>
        </w:rPr>
      </w:pPr>
    </w:p>
    <w:p>
      <w:pPr>
        <w:ind w:right="220" w:firstLine="646"/>
        <w:spacing w:after="0" w:line="265" w:lineRule="auto"/>
        <w:rPr>
          <w:sz w:val="20"/>
          <w:szCs w:val="20"/>
          <w:color w:val="auto"/>
        </w:rPr>
      </w:pPr>
      <w:r>
        <w:rPr>
          <w:rFonts w:ascii="Times New Roman" w:cs="Times New Roman" w:eastAsia="Times New Roman" w:hAnsi="Times New Roman"/>
          <w:sz w:val="18"/>
          <w:szCs w:val="18"/>
          <w:color w:val="auto"/>
        </w:rPr>
        <w:t>The Company has incurred total comprehensive losses of $18.5 million and $48.8 million for the fiscal years ended June 30, 2024 and 2023, respectively, and experienced net cash outflows from operating activities of $15. 8 million and $10.7 million for the fiscal years ended June 30, 2024 and 2023, respectively.</w:t>
      </w:r>
    </w:p>
    <w:p>
      <w:pPr>
        <w:spacing w:after="0" w:line="176" w:lineRule="exact"/>
        <w:rPr>
          <w:sz w:val="20"/>
          <w:szCs w:val="20"/>
          <w:color w:val="auto"/>
        </w:rPr>
      </w:pPr>
    </w:p>
    <w:p>
      <w:pPr>
        <w:ind w:right="420" w:firstLine="646"/>
        <w:spacing w:after="0" w:line="281" w:lineRule="auto"/>
        <w:rPr>
          <w:sz w:val="20"/>
          <w:szCs w:val="20"/>
          <w:color w:val="auto"/>
        </w:rPr>
      </w:pPr>
      <w:r>
        <w:rPr>
          <w:rFonts w:ascii="Times New Roman" w:cs="Times New Roman" w:eastAsia="Times New Roman" w:hAnsi="Times New Roman"/>
          <w:sz w:val="18"/>
          <w:szCs w:val="18"/>
          <w:color w:val="auto"/>
        </w:rPr>
        <w:t>As of June 30, 2024 and 2023, the Company had cash and cash equivalents of $5.9 million and $22.1 million, respectively, and current assets exceeded its current liabilities by $10.6 million and $21.2 million, respectively.</w:t>
      </w:r>
    </w:p>
    <w:p>
      <w:pPr>
        <w:spacing w:after="0" w:line="162" w:lineRule="exact"/>
        <w:rPr>
          <w:sz w:val="20"/>
          <w:szCs w:val="20"/>
          <w:color w:val="auto"/>
        </w:rPr>
      </w:pPr>
    </w:p>
    <w:p>
      <w:pPr>
        <w:ind w:firstLine="646"/>
        <w:spacing w:after="0" w:line="253" w:lineRule="auto"/>
        <w:rPr>
          <w:sz w:val="20"/>
          <w:szCs w:val="20"/>
          <w:color w:val="auto"/>
        </w:rPr>
      </w:pPr>
      <w:r>
        <w:rPr>
          <w:rFonts w:ascii="Times New Roman" w:cs="Times New Roman" w:eastAsia="Times New Roman" w:hAnsi="Times New Roman"/>
          <w:sz w:val="18"/>
          <w:szCs w:val="18"/>
          <w:color w:val="auto"/>
        </w:rPr>
        <w:t xml:space="preserve">The Company believes there is substantial doubt about our ability to obtain additional capital when and as needed to continue as a going concern as of the date of this annual report on Form 10-K for the fiscal year ended June 30, 2024 (the “Annual Report”). The Company has not yet established an ongoing source of revenue sufficient to cover the Company’s operating and capital expenditure requirements to provide sufficient certainty that the Company will continue as a going concern. Historically, the Company has financed its operations to date primarily through partnerships, funds received from public offerings of common stock, a debt financing facility, as well as funding from governmental bodies. The Company plans to address this condition through the sale of common stock in public offerings and/or private placements, debt financings, or through other capital sources, including collaborations with other companies or other strategic transactions, but there is no assurance these plans will be completed successfully or at all. Pursuant to the requirements of ASC 205-40, </w:t>
      </w:r>
      <w:r>
        <w:rPr>
          <w:rFonts w:ascii="Times New Roman" w:cs="Times New Roman" w:eastAsia="Times New Roman" w:hAnsi="Times New Roman"/>
          <w:sz w:val="18"/>
          <w:szCs w:val="18"/>
          <w:i w:val="1"/>
          <w:iCs w:val="1"/>
          <w:color w:val="auto"/>
        </w:rPr>
        <w:t>Presentation of Financial Statements - Going Concern</w:t>
      </w:r>
      <w:r>
        <w:rPr>
          <w:rFonts w:ascii="Times New Roman" w:cs="Times New Roman" w:eastAsia="Times New Roman" w:hAnsi="Times New Roman"/>
          <w:sz w:val="18"/>
          <w:szCs w:val="18"/>
          <w:color w:val="auto"/>
        </w:rPr>
        <w:t>, and as a result of the financial condition and other factors described herein, there is substantial doubt about the Company’s ability to continue as a going concern for a period of at least twelve months from the date of the financial statements.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873" w:right="359" w:bottom="1440" w:gutter="0" w:footer="0" w:header="0"/>
        </w:sectPr>
      </w:pPr>
    </w:p>
    <w:bookmarkStart w:id="99" w:name="page100"/>
    <w:bookmarkEnd w:id="99"/>
    <w:p>
      <w:pPr>
        <w:ind w:firstLine="646"/>
        <w:spacing w:after="0" w:line="255" w:lineRule="auto"/>
        <w:rPr>
          <w:sz w:val="20"/>
          <w:szCs w:val="20"/>
          <w:color w:val="auto"/>
        </w:rPr>
      </w:pPr>
      <w:r>
        <w:rPr>
          <w:rFonts w:ascii="Times New Roman" w:cs="Times New Roman" w:eastAsia="Times New Roman" w:hAnsi="Times New Roman"/>
          <w:sz w:val="18"/>
          <w:szCs w:val="18"/>
          <w:color w:val="auto"/>
        </w:rPr>
        <w:t>Based on the Company’s unrestricted cash and cash equivalents as of June 30, 2024, the Company anticipates that it will be able to fund its planned operating expenses and capital expenditure requirements into December 2024. The Company believes that its current cash and cash equivalents and anticipated cash flows from the financing activities contemplated by the September 2024 Purchase Agreement (as defined below) and the ELOC Agreement (as defined below) will be sufficient to meet the Company’s anticipated working capital requirements and capital expenditures in the ordinary course of business until August 2025. However, there can be no assurance that the Company will continue to comply with the terms of these agreements or that these issuances will occur. The Company has based these estimates on assumptions that may prove to be wrong, and the Company could use its capital resources sooner than it currently expects.</w:t>
      </w:r>
    </w:p>
    <w:p>
      <w:pPr>
        <w:spacing w:after="0" w:line="184" w:lineRule="exact"/>
        <w:rPr>
          <w:sz w:val="20"/>
          <w:szCs w:val="20"/>
          <w:color w:val="auto"/>
        </w:rPr>
      </w:pPr>
    </w:p>
    <w:p>
      <w:pPr>
        <w:ind w:right="140" w:firstLine="646"/>
        <w:spacing w:after="0" w:line="257" w:lineRule="auto"/>
        <w:rPr>
          <w:sz w:val="20"/>
          <w:szCs w:val="20"/>
          <w:color w:val="auto"/>
        </w:rPr>
      </w:pPr>
      <w:r>
        <w:rPr>
          <w:rFonts w:ascii="Times New Roman" w:cs="Times New Roman" w:eastAsia="Times New Roman" w:hAnsi="Times New Roman"/>
          <w:sz w:val="18"/>
          <w:szCs w:val="18"/>
          <w:color w:val="auto"/>
        </w:rPr>
        <w:t>The Company’s independent auditor also included in its audit report, which is part of this Annual Report, a going concern opinion raising substantial doubt about the Company’s ability to continue as a going concern. This substantial doubt as to the Company’s ability to continue as a going concern may adversely impact its ability to obtain any additional financing the Company may need to continue its business operations and may materially and adversely affect its ability to enter into contractual relations with third parties. Uncertainty about the Company’s ability to continue as a going concern could materially and adversely affect its liquidity, financial condition and business prospects.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8" w:lineRule="exact"/>
        <w:rPr>
          <w:sz w:val="20"/>
          <w:szCs w:val="20"/>
          <w:color w:val="auto"/>
        </w:rPr>
      </w:pPr>
    </w:p>
    <w:p>
      <w:pPr>
        <w:ind w:right="560" w:firstLine="646"/>
        <w:spacing w:after="0" w:line="265"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wholly-owned subsidiaries. Details of all controlled entities are set out in Note 1 – “Redomiciliation and Business.” All intercompany balances and transactions have been eliminated on consolidation.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8" w:lineRule="exact"/>
        <w:rPr>
          <w:sz w:val="20"/>
          <w:szCs w:val="20"/>
          <w:color w:val="auto"/>
        </w:rPr>
      </w:pPr>
    </w:p>
    <w:p>
      <w:pPr>
        <w:ind w:right="20" w:firstLine="646"/>
        <w:spacing w:after="0" w:line="26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impact the reported amounts of assets, liabilities and expenses and the disclosure of contingent assets and liabilities in the Company’s consolidated financial statements and accompanying notes.</w:t>
      </w:r>
    </w:p>
    <w:p>
      <w:pPr>
        <w:spacing w:after="0" w:line="176" w:lineRule="exact"/>
        <w:rPr>
          <w:sz w:val="20"/>
          <w:szCs w:val="20"/>
          <w:color w:val="auto"/>
        </w:rPr>
      </w:pPr>
    </w:p>
    <w:p>
      <w:pPr>
        <w:ind w:firstLine="646"/>
        <w:spacing w:after="0" w:line="260" w:lineRule="auto"/>
        <w:rPr>
          <w:sz w:val="20"/>
          <w:szCs w:val="20"/>
          <w:color w:val="auto"/>
        </w:rPr>
      </w:pPr>
      <w:r>
        <w:rPr>
          <w:rFonts w:ascii="Times New Roman" w:cs="Times New Roman" w:eastAsia="Times New Roman" w:hAnsi="Times New Roman"/>
          <w:sz w:val="18"/>
          <w:szCs w:val="18"/>
          <w:color w:val="auto"/>
        </w:rPr>
        <w:t>The most significant estimates and assumptions in the Company’s consolidated financial statements include the valuation of equity-based instruments issued for other than cash, accrued research and development (“R&amp;D”) expense, R&amp;D tax credit. Estimates are periodically reviewed in light of changes in circumstances, facts and experience. Changes in estimates are recorded in the period in which they become known. Actual results could differ materially from those estimates.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8" w:lineRule="exact"/>
        <w:rPr>
          <w:sz w:val="20"/>
          <w:szCs w:val="20"/>
          <w:color w:val="auto"/>
        </w:rPr>
      </w:pPr>
    </w:p>
    <w:p>
      <w:pPr>
        <w:ind w:right="40" w:firstLine="646"/>
        <w:spacing w:after="0" w:line="257" w:lineRule="auto"/>
        <w:rPr>
          <w:sz w:val="20"/>
          <w:szCs w:val="20"/>
          <w:color w:val="auto"/>
        </w:rPr>
      </w:pPr>
      <w:r>
        <w:rPr>
          <w:rFonts w:ascii="Times New Roman" w:cs="Times New Roman" w:eastAsia="Times New Roman" w:hAnsi="Times New Roman"/>
          <w:sz w:val="18"/>
          <w:szCs w:val="18"/>
          <w:color w:val="auto"/>
        </w:rPr>
        <w:t>The Company is subject to risks and uncertainties common to companies in the biopharmaceutical industry. The Company believes that changes in any of the following areas could have a material adverse effect on future financial position or results of operations: ability to obtain future financing; regulatory approval and market acceptance of, and reimbursement for, drug candidates; performance of third-party clinical research organizations and manufacturers upon which the Company relies; protection of the Company’s intellectual property; litigation or claims against the Company based on intellectual property, patent, product, regulatory or other factors; the Company’s ability to attract and retain employees.</w:t>
      </w:r>
    </w:p>
    <w:p>
      <w:pPr>
        <w:spacing w:after="0" w:line="185" w:lineRule="exact"/>
        <w:rPr>
          <w:sz w:val="20"/>
          <w:szCs w:val="20"/>
          <w:color w:val="auto"/>
        </w:rPr>
      </w:pPr>
    </w:p>
    <w:p>
      <w:pPr>
        <w:ind w:right="180" w:firstLine="646"/>
        <w:spacing w:after="0" w:line="256" w:lineRule="auto"/>
        <w:rPr>
          <w:sz w:val="20"/>
          <w:szCs w:val="20"/>
          <w:color w:val="auto"/>
        </w:rPr>
      </w:pPr>
      <w:r>
        <w:rPr>
          <w:rFonts w:ascii="Times New Roman" w:cs="Times New Roman" w:eastAsia="Times New Roman" w:hAnsi="Times New Roman"/>
          <w:sz w:val="18"/>
          <w:szCs w:val="18"/>
          <w:color w:val="auto"/>
        </w:rPr>
        <w:t>There can be no assurance that the Company’s R&amp;D will be successfully completed, that adequate protection for the Company’s intellectual property will be obtained or maintained,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technological change and substantial competition from other pharmaceutical and biotechnology companies. In addition, the Company is dependent upon the services of its employees, consultants and other third parties.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8" w:lineRule="exact"/>
        <w:rPr>
          <w:sz w:val="20"/>
          <w:szCs w:val="20"/>
          <w:color w:val="auto"/>
        </w:rPr>
      </w:pPr>
    </w:p>
    <w:p>
      <w:pPr>
        <w:ind w:right="220" w:firstLine="646"/>
        <w:spacing w:after="0" w:line="260"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primarily of cash and cash equivalents. The Company has not experienced any losses in such accounts, and management believes that the Company is not exposed to significant credit risk due to the financial position of the depository institutions in which those deposits are held. As of June 30, 2024 and 2023, all deposit in banks outside of the United States.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8" w:lineRule="exact"/>
        <w:rPr>
          <w:sz w:val="20"/>
          <w:szCs w:val="20"/>
          <w:color w:val="auto"/>
        </w:rPr>
      </w:pPr>
    </w:p>
    <w:p>
      <w:pPr>
        <w:ind w:right="100" w:firstLine="646"/>
        <w:spacing w:after="0" w:line="281" w:lineRule="auto"/>
        <w:rPr>
          <w:sz w:val="20"/>
          <w:szCs w:val="20"/>
          <w:color w:val="auto"/>
        </w:rPr>
      </w:pPr>
      <w:r>
        <w:rPr>
          <w:rFonts w:ascii="Times New Roman" w:cs="Times New Roman" w:eastAsia="Times New Roman" w:hAnsi="Times New Roman"/>
          <w:sz w:val="18"/>
          <w:szCs w:val="18"/>
          <w:color w:val="auto"/>
        </w:rPr>
        <w:t>Cash and cash equivalents, which includes cash and deposits held at call with financial institutions with original maturities of three months or less that are readily convertible to known amounts of cash, are carried at cost, which approximates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Plant and Equipment, Net</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Recognition and Measurement</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property, plant and equipment is recognised at historical cost less depreciation.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w:t>
      </w:r>
    </w:p>
    <w:p>
      <w:pPr>
        <w:spacing w:after="0" w:line="226" w:lineRule="exact"/>
        <w:rPr>
          <w:sz w:val="20"/>
          <w:szCs w:val="20"/>
          <w:color w:val="auto"/>
        </w:rPr>
      </w:pPr>
    </w:p>
    <w:p>
      <w:pPr>
        <w:ind w:right="240" w:firstLine="646"/>
        <w:spacing w:after="0" w:line="281" w:lineRule="auto"/>
        <w:rPr>
          <w:sz w:val="20"/>
          <w:szCs w:val="20"/>
          <w:color w:val="auto"/>
        </w:rPr>
      </w:pPr>
      <w:r>
        <w:rPr>
          <w:rFonts w:ascii="Times New Roman" w:cs="Times New Roman" w:eastAsia="Times New Roman" w:hAnsi="Times New Roman"/>
          <w:sz w:val="18"/>
          <w:szCs w:val="18"/>
          <w:color w:val="auto"/>
        </w:rPr>
        <w:t>Depreciation is calculated using the straight-line method to allocate their cost, net of their residual values, over their estimated useful lives or, in the case of leasehold improvements and certain leased plant and equipment, the shorter lease term as follows:</w:t>
      </w:r>
    </w:p>
    <w:p>
      <w:pPr>
        <w:spacing w:after="0" w:line="162" w:lineRule="exact"/>
        <w:rPr>
          <w:sz w:val="20"/>
          <w:szCs w:val="20"/>
          <w:color w:val="auto"/>
        </w:rPr>
      </w:pPr>
    </w:p>
    <w:p>
      <w:pPr>
        <w:ind w:left="980" w:hanging="326"/>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Machinery 10-15 years</w:t>
      </w:r>
    </w:p>
    <w:p>
      <w:pPr>
        <w:spacing w:after="0" w:line="224"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Vehicles 3-5 years</w:t>
      </w:r>
    </w:p>
    <w:p>
      <w:pPr>
        <w:spacing w:after="0" w:line="224"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Furniture, fittings and equipment 3-8 years</w:t>
      </w:r>
    </w:p>
    <w:p>
      <w:pPr>
        <w:spacing w:after="0" w:line="224" w:lineRule="exact"/>
        <w:rPr>
          <w:sz w:val="20"/>
          <w:szCs w:val="20"/>
          <w:color w:val="auto"/>
        </w:rPr>
      </w:pPr>
    </w:p>
    <w:p>
      <w:pPr>
        <w:ind w:firstLine="646"/>
        <w:spacing w:after="0" w:line="281" w:lineRule="auto"/>
        <w:rPr>
          <w:sz w:val="20"/>
          <w:szCs w:val="20"/>
          <w:color w:val="auto"/>
        </w:rPr>
      </w:pPr>
      <w:r>
        <w:rPr>
          <w:rFonts w:ascii="Times New Roman" w:cs="Times New Roman" w:eastAsia="Times New Roman" w:hAnsi="Times New Roman"/>
          <w:sz w:val="18"/>
          <w:szCs w:val="18"/>
          <w:color w:val="auto"/>
        </w:rPr>
        <w:t>Furniture, fittings and equipment include assets in the form of office fit outs. These assets and other leasehold improvements are recognised at their fair value and depreciated over the shorter of their useful life or the lease term, unless the entity expects to use the assets beyond the lease term.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8" w:lineRule="exact"/>
        <w:rPr>
          <w:sz w:val="20"/>
          <w:szCs w:val="20"/>
          <w:color w:val="auto"/>
        </w:rPr>
      </w:pPr>
    </w:p>
    <w:p>
      <w:pPr>
        <w:ind w:right="40" w:firstLine="646"/>
        <w:spacing w:after="0" w:line="256" w:lineRule="auto"/>
        <w:rPr>
          <w:sz w:val="20"/>
          <w:szCs w:val="20"/>
          <w:color w:val="auto"/>
        </w:rPr>
      </w:pPr>
      <w:r>
        <w:rPr>
          <w:rFonts w:ascii="Times New Roman" w:cs="Times New Roman" w:eastAsia="Times New Roman" w:hAnsi="Times New Roman"/>
          <w:sz w:val="18"/>
          <w:szCs w:val="18"/>
          <w:color w:val="auto"/>
        </w:rPr>
        <w:t>Long-lived assets consist primarily of property, plant and equipment, net, and are reviewed for impairment whenever events or changes in circumstances indicate that the carrying amount of an asset may not be recoverable. If circumstances require that a long-lived asset be tested for possible impairment, the Company compares the undiscounted cash flows expected to be generated by the asset group to the carrying amount of the asset group. If the carrying amount of the long-lived asset is not recoverable on an undiscounted cash flow basis, an impairment is recognized to the extent that the carrying amount exceeds its fair value. Fair value is generally determined using the asset’s expected future discounted cash flows or market value, if readily determinable.</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fiscal years ended June 30, 2024 and 2023, the Company did not record any impairment charges on its long-lived assets.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8" w:lineRule="exact"/>
        <w:rPr>
          <w:sz w:val="20"/>
          <w:szCs w:val="20"/>
          <w:color w:val="auto"/>
        </w:rPr>
      </w:pPr>
    </w:p>
    <w:p>
      <w:pPr>
        <w:jc w:val="both"/>
        <w:ind w:right="40" w:firstLine="646"/>
        <w:spacing w:after="0" w:line="257" w:lineRule="auto"/>
        <w:rPr>
          <w:sz w:val="20"/>
          <w:szCs w:val="20"/>
          <w:color w:val="auto"/>
        </w:rPr>
      </w:pPr>
      <w:r>
        <w:rPr>
          <w:rFonts w:ascii="Times New Roman" w:cs="Times New Roman" w:eastAsia="Times New Roman" w:hAnsi="Times New Roman"/>
          <w:sz w:val="18"/>
          <w:szCs w:val="18"/>
          <w:color w:val="auto"/>
        </w:rPr>
        <w:t>The Company determines if an arrangement is, or contains, a lease at inception and then classifies the lease as operating or financing based on the underlying terms and conditions of the contract. Leases with terms greater than one year are initially recognized on the consolidated balance sheets as right-of-use assets and lease liabilities based on the present value of lease payments over the expected lease term. The Company has also elected to not apply the recognition requirement to any leases within its existing classes of assets with a term of 12 months or less and does not include any options to purchase the underlying asset that the Company is reasonably certain to exercise.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01" w:name="page102"/>
    <w:bookmarkEnd w:id="101"/>
    <w:p>
      <w:pPr>
        <w:ind w:right="100" w:firstLine="646"/>
        <w:spacing w:after="0" w:line="280" w:lineRule="auto"/>
        <w:rPr>
          <w:sz w:val="20"/>
          <w:szCs w:val="20"/>
          <w:color w:val="auto"/>
        </w:rPr>
      </w:pPr>
      <w:r>
        <w:rPr>
          <w:rFonts w:ascii="Times New Roman" w:cs="Times New Roman" w:eastAsia="Times New Roman" w:hAnsi="Times New Roman"/>
          <w:sz w:val="17"/>
          <w:szCs w:val="17"/>
          <w:color w:val="auto"/>
        </w:rPr>
        <w:t>Lease expense for minimum lease payments on operating leases is recognized on a straight-line basis over the lease term. Variable lease payments are excluded from the right-of-use assets and operating lease liabilities and are recognized in the period in which the obligation for those payments is incurred. Operating lease expenses are categorized within R&amp;D and general and administrative expenses in the consolidated statements of operations and comprehensive loss. Operating lease cash flows are categorized under net cash used in operating activities in the consolidated statements of cash flows.</w:t>
      </w:r>
    </w:p>
    <w:p>
      <w:pPr>
        <w:spacing w:after="0" w:line="165" w:lineRule="exact"/>
        <w:rPr>
          <w:sz w:val="20"/>
          <w:szCs w:val="20"/>
          <w:color w:val="auto"/>
        </w:rPr>
      </w:pPr>
    </w:p>
    <w:p>
      <w:pPr>
        <w:ind w:right="520" w:firstLine="646"/>
        <w:spacing w:after="0" w:line="281" w:lineRule="auto"/>
        <w:rPr>
          <w:sz w:val="20"/>
          <w:szCs w:val="20"/>
          <w:color w:val="auto"/>
        </w:rPr>
      </w:pPr>
      <w:r>
        <w:rPr>
          <w:rFonts w:ascii="Times New Roman" w:cs="Times New Roman" w:eastAsia="Times New Roman" w:hAnsi="Times New Roman"/>
          <w:sz w:val="18"/>
          <w:szCs w:val="18"/>
          <w:color w:val="auto"/>
        </w:rPr>
        <w:t>As most of the Company’s leases do not provide an implicit rate, the Company uses its incremental borrowing rate based on the information available at commencement date in determining the present value of future payments.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and other payables</w:t>
      </w:r>
    </w:p>
    <w:p>
      <w:pPr>
        <w:spacing w:after="0" w:line="228" w:lineRule="exact"/>
        <w:rPr>
          <w:sz w:val="20"/>
          <w:szCs w:val="20"/>
          <w:color w:val="auto"/>
        </w:rPr>
      </w:pPr>
    </w:p>
    <w:p>
      <w:pPr>
        <w:ind w:right="300" w:firstLine="646"/>
        <w:spacing w:after="0" w:line="265" w:lineRule="auto"/>
        <w:rPr>
          <w:sz w:val="20"/>
          <w:szCs w:val="20"/>
          <w:color w:val="auto"/>
        </w:rPr>
      </w:pPr>
      <w:r>
        <w:rPr>
          <w:rFonts w:ascii="Times New Roman" w:cs="Times New Roman" w:eastAsia="Times New Roman" w:hAnsi="Times New Roman"/>
          <w:sz w:val="18"/>
          <w:szCs w:val="18"/>
          <w:color w:val="auto"/>
        </w:rPr>
        <w:t>These amounts represent liabilities for goods and services provided to the Company prior to the end of the period and which are unpaid. Due to their short-term nature, they are measured at amortized cost and are not discounted. The amounts are unsecured and are usually paid within 30 days of recognition.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8" w:lineRule="exact"/>
        <w:rPr>
          <w:sz w:val="20"/>
          <w:szCs w:val="20"/>
          <w:color w:val="auto"/>
        </w:rPr>
      </w:pPr>
    </w:p>
    <w:p>
      <w:pPr>
        <w:jc w:val="both"/>
        <w:ind w:right="160" w:firstLine="646"/>
        <w:spacing w:after="0" w:line="265" w:lineRule="auto"/>
        <w:rPr>
          <w:sz w:val="20"/>
          <w:szCs w:val="20"/>
          <w:color w:val="auto"/>
        </w:rPr>
      </w:pPr>
      <w:r>
        <w:rPr>
          <w:rFonts w:ascii="Times New Roman" w:cs="Times New Roman" w:eastAsia="Times New Roman" w:hAnsi="Times New Roman"/>
          <w:sz w:val="18"/>
          <w:szCs w:val="18"/>
          <w:color w:val="auto"/>
        </w:rPr>
        <w:t>The Company operates and manages its business as one reportable and operating segment, which is the R&amp;D of the use of psychedelic medicine and therapies. The Company’s Chief Executive Officer, who is the chief operating decision maker, reviews financial information on an aggregate basis for the purposes of allocating resources and evaluating financial performance. The Company’s long-lived assets are primarily in Australia.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recognizes revenue to depict the transfer of goods and services to clients in an amount that reflects the consideration to which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expects to be entitled in exchange for those goods and services by applying the following steps:</w:t>
      </w:r>
    </w:p>
    <w:p>
      <w:pPr>
        <w:spacing w:after="0" w:line="206" w:lineRule="exact"/>
        <w:rPr>
          <w:sz w:val="20"/>
          <w:szCs w:val="20"/>
          <w:color w:val="auto"/>
        </w:rPr>
      </w:pPr>
    </w:p>
    <w:p>
      <w:pPr>
        <w:ind w:left="980" w:hanging="326"/>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client;</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performance obligations; and</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Company satisfies a performance obligation.</w:t>
      </w:r>
    </w:p>
    <w:p>
      <w:pPr>
        <w:spacing w:after="0" w:line="224" w:lineRule="exact"/>
        <w:rPr>
          <w:sz w:val="20"/>
          <w:szCs w:val="20"/>
          <w:color w:val="auto"/>
        </w:rPr>
      </w:pPr>
    </w:p>
    <w:p>
      <w:pPr>
        <w:ind w:right="220" w:firstLine="646"/>
        <w:spacing w:after="0" w:line="281" w:lineRule="auto"/>
        <w:rPr>
          <w:sz w:val="20"/>
          <w:szCs w:val="20"/>
          <w:color w:val="auto"/>
        </w:rPr>
      </w:pPr>
      <w:r>
        <w:rPr>
          <w:rFonts w:ascii="Times New Roman" w:cs="Times New Roman" w:eastAsia="Times New Roman" w:hAnsi="Times New Roman"/>
          <w:sz w:val="18"/>
          <w:szCs w:val="18"/>
          <w:color w:val="auto"/>
        </w:rPr>
        <w:t>Revenue may be earned over time as the performance obligations are satisfied or at a point in time which is when the entity has earned a right to payment, the customer has possession of the asset and the related significant risks and rewards of ownership, and the customer has accepted the asset.</w:t>
      </w:r>
    </w:p>
    <w:p>
      <w:pPr>
        <w:spacing w:after="0" w:line="162" w:lineRule="exact"/>
        <w:rPr>
          <w:sz w:val="20"/>
          <w:szCs w:val="20"/>
          <w:color w:val="auto"/>
        </w:rPr>
      </w:pPr>
    </w:p>
    <w:p>
      <w:pPr>
        <w:ind w:right="40" w:firstLine="646"/>
        <w:spacing w:after="0" w:line="265" w:lineRule="auto"/>
        <w:rPr>
          <w:sz w:val="20"/>
          <w:szCs w:val="20"/>
          <w:color w:val="auto"/>
        </w:rPr>
      </w:pPr>
      <w:r>
        <w:rPr>
          <w:rFonts w:ascii="Times New Roman" w:cs="Times New Roman" w:eastAsia="Times New Roman" w:hAnsi="Times New Roman"/>
          <w:sz w:val="18"/>
          <w:szCs w:val="18"/>
          <w:color w:val="auto"/>
        </w:rPr>
        <w:t>The Company’s arrangements with clients can include multiple performance obligations. When contracts involve various performance obligations, the Company evaluates whether each performance obligation is distinct and should be accounted for as a separate unit of accounting under ASC 606— Revenue from Contracts with Customers (“ASC 606”), Revenue from Contracts with Customers.</w:t>
      </w:r>
    </w:p>
    <w:p>
      <w:pPr>
        <w:spacing w:after="0" w:line="176" w:lineRule="exact"/>
        <w:rPr>
          <w:sz w:val="20"/>
          <w:szCs w:val="20"/>
          <w:color w:val="auto"/>
        </w:rPr>
      </w:pPr>
    </w:p>
    <w:p>
      <w:pPr>
        <w:ind w:firstLine="646"/>
        <w:spacing w:after="0" w:line="257" w:lineRule="auto"/>
        <w:rPr>
          <w:sz w:val="20"/>
          <w:szCs w:val="20"/>
          <w:color w:val="auto"/>
        </w:rPr>
      </w:pPr>
      <w:r>
        <w:rPr>
          <w:rFonts w:ascii="Times New Roman" w:cs="Times New Roman" w:eastAsia="Times New Roman" w:hAnsi="Times New Roman"/>
          <w:sz w:val="18"/>
          <w:szCs w:val="18"/>
          <w:color w:val="auto"/>
        </w:rPr>
        <w:t>The Company determines the standalone selling price by considering its overall pricing objectives and market conditions. Significant pricing practices taken into consideration include discounting practices, the size and volume of our transactions, our marketing strategy, historical sales, and contract prices. The determination of standalone selling prices is made through consultation with and approval by management, taking into consideration our go-to-market strategy. As the Company’s go-to-market strategies evolve, the Company may modify its pricing practices in the future, which could result in changes in relative standalone selling prices.</w:t>
      </w:r>
    </w:p>
    <w:p>
      <w:pPr>
        <w:spacing w:after="0" w:line="185" w:lineRule="exact"/>
        <w:rPr>
          <w:sz w:val="20"/>
          <w:szCs w:val="20"/>
          <w:color w:val="auto"/>
        </w:rPr>
      </w:pPr>
    </w:p>
    <w:p>
      <w:pPr>
        <w:ind w:right="460" w:firstLine="646"/>
        <w:spacing w:after="0" w:line="281" w:lineRule="auto"/>
        <w:rPr>
          <w:sz w:val="20"/>
          <w:szCs w:val="20"/>
          <w:color w:val="auto"/>
        </w:rPr>
      </w:pPr>
      <w:r>
        <w:rPr>
          <w:rFonts w:ascii="Times New Roman" w:cs="Times New Roman" w:eastAsia="Times New Roman" w:hAnsi="Times New Roman"/>
          <w:sz w:val="18"/>
          <w:szCs w:val="18"/>
          <w:color w:val="auto"/>
        </w:rPr>
        <w:t>The Company disaggregates revenue from contracts with customers based on the categories that most closely depict how the nature, amount, timing and uncertainty of revenue and cash flows are affected by economic factors.</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02" w:name="page103"/>
    <w:bookmarkEnd w:id="102"/>
    <w:p>
      <w:pPr>
        <w:ind w:right="60" w:firstLine="646"/>
        <w:spacing w:after="0" w:line="281" w:lineRule="auto"/>
        <w:rPr>
          <w:sz w:val="20"/>
          <w:szCs w:val="20"/>
          <w:color w:val="auto"/>
        </w:rPr>
      </w:pPr>
      <w:r>
        <w:rPr>
          <w:rFonts w:ascii="Times New Roman" w:cs="Times New Roman" w:eastAsia="Times New Roman" w:hAnsi="Times New Roman"/>
          <w:sz w:val="18"/>
          <w:szCs w:val="18"/>
          <w:color w:val="auto"/>
        </w:rPr>
        <w:t>The Company receives payment from its clients after invoicing within the normal 28-day commercial terms. If a client is specifically identified as a credit risk, recognition of revenue is stopped except to the extent of fees that have already been collected.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R&amp;D Costs</w:t>
      </w:r>
    </w:p>
    <w:p>
      <w:pPr>
        <w:spacing w:after="0" w:line="228" w:lineRule="exact"/>
        <w:rPr>
          <w:sz w:val="20"/>
          <w:szCs w:val="20"/>
          <w:color w:val="auto"/>
        </w:rPr>
      </w:pPr>
    </w:p>
    <w:p>
      <w:pPr>
        <w:ind w:right="80" w:firstLine="646"/>
        <w:spacing w:after="0" w:line="288" w:lineRule="auto"/>
        <w:rPr>
          <w:sz w:val="20"/>
          <w:szCs w:val="20"/>
          <w:color w:val="auto"/>
        </w:rPr>
      </w:pPr>
      <w:r>
        <w:rPr>
          <w:rFonts w:ascii="Times New Roman" w:cs="Times New Roman" w:eastAsia="Times New Roman" w:hAnsi="Times New Roman"/>
          <w:sz w:val="17"/>
          <w:szCs w:val="17"/>
          <w:color w:val="auto"/>
        </w:rPr>
        <w:t>R&amp;D costs are expensed as incurred. Research and development consist of salaries, benefits and other personnel related costs including equity-based compensation expense, laboratory supplies, preclinical studies, clinical trials and related clinical manufacturing costs, costs related to manufacturing preparations, fees paid to other entities to conduct certain R&amp;D activities on the Company’s behalf and allocated facility and other related costs.</w:t>
      </w:r>
    </w:p>
    <w:p>
      <w:pPr>
        <w:spacing w:after="0" w:line="158" w:lineRule="exact"/>
        <w:rPr>
          <w:sz w:val="20"/>
          <w:szCs w:val="20"/>
          <w:color w:val="auto"/>
        </w:rPr>
      </w:pPr>
    </w:p>
    <w:p>
      <w:pPr>
        <w:ind w:right="380" w:firstLine="646"/>
        <w:spacing w:after="0" w:line="281" w:lineRule="auto"/>
        <w:rPr>
          <w:sz w:val="20"/>
          <w:szCs w:val="20"/>
          <w:color w:val="auto"/>
        </w:rPr>
      </w:pPr>
      <w:r>
        <w:rPr>
          <w:rFonts w:ascii="Times New Roman" w:cs="Times New Roman" w:eastAsia="Times New Roman" w:hAnsi="Times New Roman"/>
          <w:sz w:val="18"/>
          <w:szCs w:val="18"/>
          <w:color w:val="auto"/>
        </w:rPr>
        <w:t>Nonrefundable advance payments for goods or services that will be used or rendered for future R&amp;D activities are deferred and capitalized as prepaid expenses until the related goods are delivered or services are performed.</w:t>
      </w:r>
    </w:p>
    <w:p>
      <w:pPr>
        <w:spacing w:after="0" w:line="162" w:lineRule="exact"/>
        <w:rPr>
          <w:sz w:val="20"/>
          <w:szCs w:val="20"/>
          <w:color w:val="auto"/>
        </w:rPr>
      </w:pPr>
    </w:p>
    <w:p>
      <w:pPr>
        <w:ind w:right="20" w:firstLine="646"/>
        <w:spacing w:after="0" w:line="260" w:lineRule="auto"/>
        <w:rPr>
          <w:sz w:val="20"/>
          <w:szCs w:val="20"/>
          <w:color w:val="auto"/>
        </w:rPr>
      </w:pPr>
      <w:r>
        <w:rPr>
          <w:rFonts w:ascii="Times New Roman" w:cs="Times New Roman" w:eastAsia="Times New Roman" w:hAnsi="Times New Roman"/>
          <w:sz w:val="18"/>
          <w:szCs w:val="18"/>
          <w:color w:val="auto"/>
        </w:rPr>
        <w:t>The Company records accrued liabilities for estimated costs of R&amp;D activities conducted by third-party service providers, which include the conduct of preclinical studies and clinical trials, and contract manufacturing activities. The Company records the estimated costs of R&amp;D activities based upon the estimated amount of services provided but not yet invoiced and includes these costs in trade and other payables on the consolidated balance sheets and within R&amp;D expenses on the consolidated statements of operations and comprehensive loss.</w:t>
      </w:r>
    </w:p>
    <w:p>
      <w:pPr>
        <w:spacing w:after="0" w:line="181" w:lineRule="exact"/>
        <w:rPr>
          <w:sz w:val="20"/>
          <w:szCs w:val="20"/>
          <w:color w:val="auto"/>
        </w:rPr>
      </w:pPr>
    </w:p>
    <w:p>
      <w:pPr>
        <w:ind w:right="140" w:firstLine="646"/>
        <w:spacing w:after="0" w:line="260" w:lineRule="auto"/>
        <w:rPr>
          <w:sz w:val="20"/>
          <w:szCs w:val="20"/>
          <w:color w:val="auto"/>
        </w:rPr>
      </w:pPr>
      <w:r>
        <w:rPr>
          <w:rFonts w:ascii="Times New Roman" w:cs="Times New Roman" w:eastAsia="Times New Roman" w:hAnsi="Times New Roman"/>
          <w:sz w:val="18"/>
          <w:szCs w:val="18"/>
          <w:color w:val="auto"/>
        </w:rPr>
        <w:t>The Company accrues for these costs based on factors such as estimates of the work completed and in accordance with agreements established with its third-party service providers. The Company makes significant judgments and estimates in determining the accrued liabilities balance at the end of each reporting period. As actual costs become known, the Company adjusts its accrued liabilities. The Company has not experienced any material differences between accrued costs and actual costs incurred.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28" w:lineRule="exact"/>
        <w:rPr>
          <w:sz w:val="20"/>
          <w:szCs w:val="20"/>
          <w:color w:val="auto"/>
        </w:rPr>
      </w:pPr>
    </w:p>
    <w:p>
      <w:pPr>
        <w:ind w:firstLine="646"/>
        <w:spacing w:after="0" w:line="256" w:lineRule="auto"/>
        <w:rPr>
          <w:sz w:val="20"/>
          <w:szCs w:val="20"/>
          <w:color w:val="auto"/>
        </w:rPr>
      </w:pPr>
      <w:r>
        <w:rPr>
          <w:rFonts w:ascii="Times New Roman" w:cs="Times New Roman" w:eastAsia="Times New Roman" w:hAnsi="Times New Roman"/>
          <w:sz w:val="18"/>
          <w:szCs w:val="18"/>
          <w:color w:val="auto"/>
        </w:rPr>
        <w:t>The Company evaluate acquisitions under the accounting framework in ASC 805, Business Combinations, to determine whether the transaction is a business combination or an asset acquisition. In determining whether an acquisition should be accounted for as a business combination or an asset acquisition, the Company first performs a screen test to determine whether substantially all of the fair value of the gross assets acquired is concentrated in a single identifiable asset or a group of similar identifiable assets. If this is the case, the acquired set is not deemed to be a business and is instead accounted for as an asset acquisition. If this is not the case, the Company further evaluates whether the acquired set includes, at a minimum, an input and a substantive process that together significantly contribute to the ability to create outputs. If so, the Company concludes that the acquired set is a business.</w:t>
      </w:r>
    </w:p>
    <w:p>
      <w:pPr>
        <w:spacing w:after="0" w:line="184" w:lineRule="exact"/>
        <w:rPr>
          <w:sz w:val="20"/>
          <w:szCs w:val="20"/>
          <w:color w:val="auto"/>
        </w:rPr>
      </w:pPr>
    </w:p>
    <w:p>
      <w:pPr>
        <w:ind w:right="80" w:firstLine="646"/>
        <w:spacing w:after="0" w:line="281" w:lineRule="auto"/>
        <w:rPr>
          <w:sz w:val="20"/>
          <w:szCs w:val="20"/>
          <w:color w:val="auto"/>
        </w:rPr>
      </w:pPr>
      <w:r>
        <w:rPr>
          <w:rFonts w:ascii="Times New Roman" w:cs="Times New Roman" w:eastAsia="Times New Roman" w:hAnsi="Times New Roman"/>
          <w:sz w:val="18"/>
          <w:szCs w:val="18"/>
          <w:color w:val="auto"/>
        </w:rPr>
        <w:t>The Company measures and recognizes asset acquisitions that are not deemed to be business combinations based on the cost to acquire the assets, which includes pre-acquisition direct costs recorded in accrued professional and consulting fees. Goodwill is not recognized in asset acquisitions.</w:t>
      </w:r>
    </w:p>
    <w:p>
      <w:pPr>
        <w:spacing w:after="0" w:line="162" w:lineRule="exact"/>
        <w:rPr>
          <w:sz w:val="20"/>
          <w:szCs w:val="20"/>
          <w:color w:val="auto"/>
        </w:rPr>
      </w:pPr>
    </w:p>
    <w:p>
      <w:pPr>
        <w:ind w:right="180" w:firstLine="646"/>
        <w:spacing w:after="0" w:line="260" w:lineRule="auto"/>
        <w:rPr>
          <w:sz w:val="20"/>
          <w:szCs w:val="20"/>
          <w:color w:val="auto"/>
        </w:rPr>
      </w:pPr>
      <w:r>
        <w:rPr>
          <w:rFonts w:ascii="Times New Roman" w:cs="Times New Roman" w:eastAsia="Times New Roman" w:hAnsi="Times New Roman"/>
          <w:sz w:val="18"/>
          <w:szCs w:val="18"/>
          <w:color w:val="auto"/>
        </w:rPr>
        <w:t>During the fiscal year ended June 30, 2023, the Company acquired APIRx Pharmaceutical USA, LLC (“APIRx”). The Company concluded that the acquisition of APIRx did not meet the definition of business under ASC 805, Business Combinations, as the acquired set did not have outputs present and a substantive process was not acquired. Therefore, the Company accounted for the transaction as an asset acquisition rather than a business combination.</w:t>
      </w:r>
    </w:p>
    <w:p>
      <w:pPr>
        <w:spacing w:after="0" w:line="181" w:lineRule="exact"/>
        <w:rPr>
          <w:sz w:val="20"/>
          <w:szCs w:val="20"/>
          <w:color w:val="auto"/>
        </w:rPr>
      </w:pPr>
    </w:p>
    <w:p>
      <w:pPr>
        <w:jc w:val="both"/>
        <w:ind w:right="40" w:firstLine="646"/>
        <w:spacing w:after="0" w:line="260" w:lineRule="auto"/>
        <w:rPr>
          <w:sz w:val="20"/>
          <w:szCs w:val="20"/>
          <w:color w:val="auto"/>
        </w:rPr>
      </w:pPr>
      <w:r>
        <w:rPr>
          <w:rFonts w:ascii="Times New Roman" w:cs="Times New Roman" w:eastAsia="Times New Roman" w:hAnsi="Times New Roman"/>
          <w:sz w:val="18"/>
          <w:szCs w:val="18"/>
          <w:color w:val="auto"/>
        </w:rPr>
        <w:t>In accordance with ASC 730-10-25-2(c), intangible assets used in research and developmental activities acquired in an asset acquisition should be expensed at the acquisition date if there is no alternative future use in other R&amp;D projects or otherwise (i.e., if they have no economic value). Additionally, in an asset acquisition, direct transaction costs are accumulated as a component of the consideration transferred and expensed with the acquired in-process research and development (“IPR&amp;D”) that has no alternative use.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00"/>
          </w:cols>
          <w:pgMar w:left="320" w:top="875" w:right="379" w:bottom="1440" w:gutter="0" w:footer="0" w:header="0"/>
        </w:sectPr>
      </w:pPr>
    </w:p>
    <w:bookmarkStart w:id="103" w:name="page104"/>
    <w:bookmarkEnd w:id="103"/>
    <w:p>
      <w:pPr>
        <w:ind w:right="440" w:firstLine="646"/>
        <w:spacing w:after="0" w:line="281" w:lineRule="auto"/>
        <w:rPr>
          <w:sz w:val="20"/>
          <w:szCs w:val="20"/>
          <w:color w:val="auto"/>
        </w:rPr>
      </w:pPr>
      <w:r>
        <w:rPr>
          <w:rFonts w:ascii="Times New Roman" w:cs="Times New Roman" w:eastAsia="Times New Roman" w:hAnsi="Times New Roman"/>
          <w:sz w:val="18"/>
          <w:szCs w:val="18"/>
          <w:color w:val="auto"/>
        </w:rPr>
        <w:t>The Company determined that drug candidates pertaining to APIRx had no alternative future use at the time of acquisition and charged $35.3 million, including transaction costs of $2.43 million, to the acquisition of IPR&amp;D expense as of the date of acquisition.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8" w:lineRule="exact"/>
        <w:rPr>
          <w:sz w:val="20"/>
          <w:szCs w:val="20"/>
          <w:color w:val="auto"/>
        </w:rPr>
      </w:pPr>
    </w:p>
    <w:p>
      <w:pPr>
        <w:ind w:right="40" w:firstLine="646"/>
        <w:spacing w:after="0" w:line="254" w:lineRule="auto"/>
        <w:rPr>
          <w:sz w:val="20"/>
          <w:szCs w:val="20"/>
          <w:color w:val="auto"/>
        </w:rPr>
      </w:pPr>
      <w:r>
        <w:rPr>
          <w:rFonts w:ascii="Times New Roman" w:cs="Times New Roman" w:eastAsia="Times New Roman" w:hAnsi="Times New Roman"/>
          <w:sz w:val="18"/>
          <w:szCs w:val="18"/>
          <w:color w:val="auto"/>
        </w:rPr>
        <w:t>The Company accounts for stock-based compensation arrangements with employees and non-employees using a fair value method which requires the recognition of compensation expense for costs related to all stock-based payments including stock options. The fair value method requires the Company to estimate the fair value of stock-based payment awards on the date of grant using an option-pricing model. The Company uses either the trinomial pricing or Black-Scholes option-pricing model to estimate the fair value of options granted. Stock-based compensation awards are expensed using the graded vesting method over the requisite service period, which is generally the vesting period, for each separately vesting tranche. The Company has elected a policy of estimating forfeitures at grant date. Option valuation models, including the trinomial pricing and Black-Scholes option-pricing model, require the input of several assumptions. These inputs are subjective and generally require significant analysis and judgment to develop. Refer to Note 12 – “Stock-based payments” for a discussion of the relevant assumptions.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Benefit from R&amp;D Tax Incentive</w:t>
      </w:r>
    </w:p>
    <w:p>
      <w:pPr>
        <w:spacing w:after="0" w:line="228" w:lineRule="exact"/>
        <w:rPr>
          <w:sz w:val="20"/>
          <w:szCs w:val="20"/>
          <w:color w:val="auto"/>
        </w:rPr>
      </w:pPr>
    </w:p>
    <w:p>
      <w:pPr>
        <w:ind w:right="120" w:firstLine="646"/>
        <w:spacing w:after="0" w:line="265" w:lineRule="auto"/>
        <w:rPr>
          <w:sz w:val="20"/>
          <w:szCs w:val="20"/>
          <w:color w:val="auto"/>
        </w:rPr>
      </w:pPr>
      <w:r>
        <w:rPr>
          <w:rFonts w:ascii="Times New Roman" w:cs="Times New Roman" w:eastAsia="Times New Roman" w:hAnsi="Times New Roman"/>
          <w:sz w:val="18"/>
          <w:szCs w:val="18"/>
          <w:color w:val="auto"/>
        </w:rPr>
        <w:t>Benefit from R&amp;D tax credit consists of the R&amp;D tax credit received in Australia, which is recorded within other income (expense), net. The Company recognizes grants once both of the following conditions are met: (1) the Company is able to comply with the relevant conditions of the grant and (2) the grant is received.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28" w:lineRule="exact"/>
        <w:rPr>
          <w:sz w:val="20"/>
          <w:szCs w:val="20"/>
          <w:color w:val="auto"/>
        </w:rPr>
      </w:pPr>
    </w:p>
    <w:p>
      <w:pPr>
        <w:ind w:right="140" w:firstLine="646"/>
        <w:spacing w:after="0" w:line="265" w:lineRule="auto"/>
        <w:rPr>
          <w:sz w:val="20"/>
          <w:szCs w:val="20"/>
          <w:color w:val="auto"/>
        </w:rPr>
      </w:pPr>
      <w:r>
        <w:rPr>
          <w:rFonts w:ascii="Times New Roman" w:cs="Times New Roman" w:eastAsia="Times New Roman" w:hAnsi="Times New Roman"/>
          <w:sz w:val="18"/>
          <w:szCs w:val="18"/>
          <w:color w:val="auto"/>
        </w:rPr>
        <w:t>Interest income is recognized as interest accrues using the effective interest method. This is a method of calculating the amortised cost of a financial asset and allocating the interest income over the relevant period using the effective interest rate, which is the rate that exactly discounts estimated future cash receipts through the expected life of the financial asset to the net carrying amount of the financial asset.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28" w:lineRule="exact"/>
        <w:rPr>
          <w:sz w:val="20"/>
          <w:szCs w:val="20"/>
          <w:color w:val="auto"/>
        </w:rPr>
      </w:pPr>
    </w:p>
    <w:p>
      <w:pPr>
        <w:ind w:right="100" w:firstLine="646"/>
        <w:spacing w:after="0" w:line="257" w:lineRule="auto"/>
        <w:rPr>
          <w:sz w:val="20"/>
          <w:szCs w:val="20"/>
          <w:color w:val="auto"/>
        </w:rPr>
      </w:pPr>
      <w:r>
        <w:rPr>
          <w:rFonts w:ascii="Times New Roman" w:cs="Times New Roman" w:eastAsia="Times New Roman" w:hAnsi="Times New Roman"/>
          <w:sz w:val="18"/>
          <w:szCs w:val="18"/>
          <w:color w:val="auto"/>
        </w:rPr>
        <w:t>The Company maintains its consolidated financial statements in its functional currency, which is Australian Dollar. Monetary assets and liabilities denominated in currencies other than the functional currency are translated into the functional currency at rates of exchange prevailing at the balance sheet dates. Non-monetary assets and liabilities denominated in foreign currencies are translated into the functional currency at the exchange rates prevailing at the date of the transaction. Exchange gains or losses arising from foreign currency transactions are included in other income (expense), net in the consolidated statements of operations and comprehensive loss.</w:t>
      </w:r>
    </w:p>
    <w:p>
      <w:pPr>
        <w:spacing w:after="0" w:line="185" w:lineRule="exact"/>
        <w:rPr>
          <w:sz w:val="20"/>
          <w:szCs w:val="20"/>
          <w:color w:val="auto"/>
        </w:rPr>
      </w:pPr>
    </w:p>
    <w:p>
      <w:pPr>
        <w:ind w:right="60" w:firstLine="646"/>
        <w:spacing w:after="0" w:line="257" w:lineRule="auto"/>
        <w:rPr>
          <w:sz w:val="20"/>
          <w:szCs w:val="20"/>
          <w:color w:val="auto"/>
        </w:rPr>
      </w:pPr>
      <w:r>
        <w:rPr>
          <w:rFonts w:ascii="Times New Roman" w:cs="Times New Roman" w:eastAsia="Times New Roman" w:hAnsi="Times New Roman"/>
          <w:sz w:val="18"/>
          <w:szCs w:val="18"/>
          <w:color w:val="auto"/>
        </w:rPr>
        <w:t>For financial reporting purposes, the consolidated financial statements of the Company have been presented in the U.S. dollar, the reporting currency. The financial statements of entities are translated from their functional currency into the reporting currency as follows: assets and liabilities are translated at the exchange rates at the balance sheet dates, expenses and other income (expense), net are translated at the average exchange rates for the periods presented and stockholders’ equity is translated based on historical exchange rates. Translation adjustments are not included in determining net loss but are included as a foreign exchange adjustment to other comprehensive income, a component of stockholders’ equity.</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data regarding the dollar exchange rate of relevant currencies: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6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45"/>
        </w:trPr>
        <w:tc>
          <w:tcPr>
            <w:tcW w:w="4060" w:type="dxa"/>
            <w:vAlign w:val="bottom"/>
          </w:tcPr>
          <w:p>
            <w:pPr>
              <w:spacing w:after="0"/>
              <w:rPr>
                <w:sz w:val="21"/>
                <w:szCs w:val="21"/>
                <w:color w:val="auto"/>
              </w:rPr>
            </w:pPr>
          </w:p>
        </w:tc>
        <w:tc>
          <w:tcPr>
            <w:tcW w:w="574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5"/>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Exchange rate on balance sheet dates</w:t>
            </w:r>
          </w:p>
        </w:tc>
        <w:tc>
          <w:tcPr>
            <w:tcW w:w="46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USD: AUD Exchange Rate</w:t>
            </w:r>
          </w:p>
        </w:tc>
        <w:tc>
          <w:tcPr>
            <w:tcW w:w="5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0.6624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0.6630</w:t>
            </w:r>
          </w:p>
        </w:tc>
      </w:tr>
      <w:tr>
        <w:trPr>
          <w:trHeight w:val="215"/>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Average exchange rate for the period</w:t>
            </w:r>
          </w:p>
        </w:tc>
        <w:tc>
          <w:tcPr>
            <w:tcW w:w="4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USD: AUD Exchange Rate</w:t>
            </w:r>
          </w:p>
        </w:tc>
        <w:tc>
          <w:tcPr>
            <w:tcW w:w="59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0.6556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0.6764</w:t>
            </w:r>
          </w:p>
        </w:tc>
      </w:tr>
      <w:tr>
        <w:trPr>
          <w:trHeight w:val="653"/>
        </w:trPr>
        <w:tc>
          <w:tcPr>
            <w:tcW w:w="406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gridSpan w:val="3"/>
          </w:tcPr>
          <w:p>
            <w:pPr>
              <w:ind w:left="1400"/>
              <w:spacing w:after="0"/>
              <w:rPr>
                <w:sz w:val="20"/>
                <w:szCs w:val="20"/>
                <w:color w:val="auto"/>
              </w:rPr>
            </w:pPr>
            <w:r>
              <w:rPr>
                <w:rFonts w:ascii="Times New Roman" w:cs="Times New Roman" w:eastAsia="Times New Roman" w:hAnsi="Times New Roman"/>
                <w:sz w:val="18"/>
                <w:szCs w:val="18"/>
                <w:color w:val="auto"/>
              </w:rPr>
              <w:t>F-13</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5"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228" w:lineRule="exact"/>
        <w:rPr>
          <w:sz w:val="20"/>
          <w:szCs w:val="20"/>
          <w:color w:val="auto"/>
        </w:rPr>
      </w:pPr>
    </w:p>
    <w:p>
      <w:pPr>
        <w:ind w:right="100" w:firstLine="646"/>
        <w:spacing w:after="0" w:line="276" w:lineRule="auto"/>
        <w:rPr>
          <w:sz w:val="20"/>
          <w:szCs w:val="20"/>
          <w:color w:val="auto"/>
        </w:rPr>
      </w:pPr>
      <w:r>
        <w:rPr>
          <w:rFonts w:ascii="Times New Roman" w:cs="Times New Roman" w:eastAsia="Times New Roman" w:hAnsi="Times New Roman"/>
          <w:sz w:val="17"/>
          <w:szCs w:val="17"/>
          <w:color w:val="auto"/>
        </w:rPr>
        <w:t>The Company is governed by Australia and U.S income tax laws. The Company follows ASC 740, Accounting for Income Taxes, when accounting for income taxes, which requires an asset and liability approach to financial accounting and reporting for income taxes. Deferred income tax assets and liabilities are computed annually for temporary differences between the financial statements and tax bases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more likely than not to be realized.</w:t>
      </w:r>
    </w:p>
    <w:p>
      <w:pPr>
        <w:spacing w:after="0" w:line="169" w:lineRule="exact"/>
        <w:rPr>
          <w:sz w:val="20"/>
          <w:szCs w:val="20"/>
          <w:color w:val="auto"/>
        </w:rPr>
      </w:pPr>
    </w:p>
    <w:p>
      <w:pPr>
        <w:jc w:val="both"/>
        <w:ind w:right="400" w:firstLine="646"/>
        <w:spacing w:after="0" w:line="265" w:lineRule="auto"/>
        <w:rPr>
          <w:sz w:val="20"/>
          <w:szCs w:val="20"/>
          <w:color w:val="auto"/>
        </w:rPr>
      </w:pPr>
      <w:r>
        <w:rPr>
          <w:rFonts w:ascii="Times New Roman" w:cs="Times New Roman" w:eastAsia="Times New Roman" w:hAnsi="Times New Roman"/>
          <w:sz w:val="18"/>
          <w:szCs w:val="18"/>
          <w:color w:val="auto"/>
        </w:rPr>
        <w:t>For uncertain tax positions that meet a “more likely than not” threshold, the Company recognizes the benefit of uncertain tax positions in the consolidated financial statements. The Company’s practice is to recognize interest and penalties, if any, related to uncertain tax positions in income tax expense in the consolidated statements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 attributable to holders of common stock</w:t>
      </w:r>
    </w:p>
    <w:p>
      <w:pPr>
        <w:spacing w:after="0" w:line="228" w:lineRule="exact"/>
        <w:rPr>
          <w:sz w:val="20"/>
          <w:szCs w:val="20"/>
          <w:color w:val="auto"/>
        </w:rPr>
      </w:pPr>
    </w:p>
    <w:p>
      <w:pPr>
        <w:ind w:right="120" w:firstLine="646"/>
        <w:spacing w:after="0" w:line="257" w:lineRule="auto"/>
        <w:rPr>
          <w:sz w:val="20"/>
          <w:szCs w:val="20"/>
          <w:color w:val="auto"/>
        </w:rPr>
      </w:pPr>
      <w:r>
        <w:rPr>
          <w:rFonts w:ascii="Times New Roman" w:cs="Times New Roman" w:eastAsia="Times New Roman" w:hAnsi="Times New Roman"/>
          <w:sz w:val="18"/>
          <w:szCs w:val="18"/>
          <w:color w:val="auto"/>
        </w:rPr>
        <w:t>The Company has reported losses since inception and has computed basic net loss per share by dividing net loss by the weighted-average number of shares of common stock outstanding for the period, without consideration for potentially dilutive securities. The Company computes diluted net loss per share after giving consideration to all potentially dilutive share issuances, including unvested restricted shares and outstanding options. Because the Company has reported net losses since inception, these potential issuances of common stock have been anti-dilutive and basic and diluted loss per share were the same for all periods presented.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228" w:lineRule="exact"/>
        <w:rPr>
          <w:sz w:val="20"/>
          <w:szCs w:val="20"/>
          <w:color w:val="auto"/>
        </w:rPr>
      </w:pPr>
    </w:p>
    <w:p>
      <w:pPr>
        <w:ind w:right="60" w:firstLine="646"/>
        <w:spacing w:after="0" w:line="265" w:lineRule="auto"/>
        <w:rPr>
          <w:sz w:val="20"/>
          <w:szCs w:val="20"/>
          <w:color w:val="auto"/>
        </w:rPr>
      </w:pPr>
      <w:r>
        <w:rPr>
          <w:rFonts w:ascii="Times New Roman" w:cs="Times New Roman" w:eastAsia="Times New Roman" w:hAnsi="Times New Roman"/>
          <w:sz w:val="18"/>
          <w:szCs w:val="18"/>
          <w:color w:val="auto"/>
        </w:rPr>
        <w:t>Comprehensive loss includes net loss as well as other changes in stockholders’ equity that result from transactions and economic events other than those with stockholders. For the fiscal years ended June 30, 2024 and 2023, the only component of accumulated other comprehensive loss is foreign currency translation adjustment.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 – Prepaid expenses and other current assets</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9"/>
        </w:trPr>
        <w:tc>
          <w:tcPr>
            <w:tcW w:w="8660" w:type="dxa"/>
            <w:vAlign w:val="bottom"/>
          </w:tcPr>
          <w:p>
            <w:pPr>
              <w:spacing w:after="0"/>
              <w:rPr>
                <w:sz w:val="24"/>
                <w:szCs w:val="24"/>
                <w:color w:val="auto"/>
              </w:rPr>
            </w:pPr>
          </w:p>
        </w:tc>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15"/>
        </w:trPr>
        <w:tc>
          <w:tcPr>
            <w:tcW w:w="866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45"/>
        </w:trPr>
        <w:tc>
          <w:tcPr>
            <w:tcW w:w="8660" w:type="dxa"/>
            <w:vAlign w:val="bottom"/>
          </w:tcPr>
          <w:p>
            <w:pPr>
              <w:spacing w:after="0"/>
              <w:rPr>
                <w:sz w:val="21"/>
                <w:szCs w:val="21"/>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5"/>
        </w:trPr>
        <w:tc>
          <w:tcPr>
            <w:tcW w:w="8660" w:type="dxa"/>
            <w:vAlign w:val="bottom"/>
          </w:tcPr>
          <w:p>
            <w:pPr>
              <w:spacing w:after="0"/>
              <w:rPr>
                <w:sz w:val="18"/>
                <w:szCs w:val="18"/>
                <w:color w:val="auto"/>
              </w:rPr>
            </w:pPr>
          </w:p>
        </w:tc>
        <w:tc>
          <w:tcPr>
            <w:tcW w:w="248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r>
      <w:tr>
        <w:trPr>
          <w:trHeight w:val="256"/>
        </w:trPr>
        <w:tc>
          <w:tcPr>
            <w:tcW w:w="86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Prepayments</w:t>
            </w:r>
            <w:r>
              <w:rPr>
                <w:rFonts w:ascii="Times New Roman" w:cs="Times New Roman" w:eastAsia="Times New Roman" w:hAnsi="Times New Roman"/>
                <w:sz w:val="29"/>
                <w:szCs w:val="29"/>
                <w:color w:val="auto"/>
                <w:vertAlign w:val="superscript"/>
              </w:rPr>
              <w:t>1</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686</w:t>
            </w:r>
          </w:p>
        </w:tc>
      </w:tr>
      <w:tr>
        <w:trPr>
          <w:trHeight w:val="236"/>
        </w:trPr>
        <w:tc>
          <w:tcPr>
            <w:tcW w:w="8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GST recoverable</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bottom w:val="single" w:sz="8" w:color="CCEEFF"/>
            </w:tcBorders>
          </w:tcPr>
          <w:p>
            <w:pPr>
              <w:spacing w:after="0"/>
              <w:rPr>
                <w:sz w:val="20"/>
                <w:szCs w:val="20"/>
                <w:color w:val="auto"/>
              </w:rPr>
            </w:pPr>
          </w:p>
        </w:tc>
      </w:tr>
      <w:tr>
        <w:trPr>
          <w:trHeight w:val="249"/>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assets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877</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4" w:lineRule="exact"/>
        <w:rPr>
          <w:sz w:val="20"/>
          <w:szCs w:val="20"/>
          <w:color w:val="auto"/>
        </w:rPr>
      </w:pPr>
    </w:p>
    <w:p>
      <w:pPr>
        <w:ind w:left="340" w:right="380" w:hanging="332"/>
        <w:spacing w:after="0" w:line="195" w:lineRule="auto"/>
        <w:tabs>
          <w:tab w:leader="none" w:pos="34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Prepayments consist of prepaid clinical trial insurances, prepaid R&amp;D expenditure relating to PSX-001 and IHL-675A clinical trials and scientific, marketing, and adverting subscription services.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R&amp;D tax incentive receivable</w:t>
            </w:r>
          </w:p>
        </w:tc>
        <w:tc>
          <w:tcPr>
            <w:tcW w:w="4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9"/>
        </w:trPr>
        <w:tc>
          <w:tcPr>
            <w:tcW w:w="42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15"/>
        </w:trPr>
        <w:tc>
          <w:tcPr>
            <w:tcW w:w="4200" w:type="dxa"/>
            <w:vAlign w:val="bottom"/>
          </w:tcPr>
          <w:p>
            <w:pPr>
              <w:spacing w:after="0"/>
              <w:rPr>
                <w:sz w:val="18"/>
                <w:szCs w:val="18"/>
                <w:color w:val="auto"/>
              </w:rPr>
            </w:pPr>
          </w:p>
        </w:tc>
        <w:tc>
          <w:tcPr>
            <w:tcW w:w="5820" w:type="dxa"/>
            <w:vAlign w:val="bottom"/>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45"/>
        </w:trPr>
        <w:tc>
          <w:tcPr>
            <w:tcW w:w="4200" w:type="dxa"/>
            <w:vAlign w:val="bottom"/>
          </w:tcPr>
          <w:p>
            <w:pPr>
              <w:spacing w:after="0"/>
              <w:rPr>
                <w:sz w:val="21"/>
                <w:szCs w:val="21"/>
                <w:color w:val="auto"/>
              </w:rPr>
            </w:pPr>
          </w:p>
        </w:tc>
        <w:tc>
          <w:tcPr>
            <w:tcW w:w="5820" w:type="dxa"/>
            <w:vAlign w:val="bottom"/>
            <w:gridSpan w:val="2"/>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5"/>
        </w:trPr>
        <w:tc>
          <w:tcPr>
            <w:tcW w:w="42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480" w:type="dxa"/>
            <w:vAlign w:val="bottom"/>
            <w:tcBorders>
              <w:top w:val="single" w:sz="8" w:color="auto"/>
            </w:tcBorders>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r>
      <w:tr>
        <w:trPr>
          <w:trHeight w:val="215"/>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R&amp;D tax incentive receivable</w:t>
            </w:r>
          </w:p>
        </w:tc>
        <w:tc>
          <w:tcPr>
            <w:tcW w:w="58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9,837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653"/>
        </w:trPr>
        <w:tc>
          <w:tcPr>
            <w:tcW w:w="420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gridSpan w:val="2"/>
          </w:tcPr>
          <w:p>
            <w:pPr>
              <w:jc w:val="right"/>
              <w:ind w:right="4130"/>
              <w:spacing w:after="0"/>
              <w:rPr>
                <w:sz w:val="20"/>
                <w:szCs w:val="20"/>
                <w:color w:val="auto"/>
              </w:rPr>
            </w:pPr>
            <w:r>
              <w:rPr>
                <w:rFonts w:ascii="Times New Roman" w:cs="Times New Roman" w:eastAsia="Times New Roman" w:hAnsi="Times New Roman"/>
                <w:sz w:val="18"/>
                <w:szCs w:val="18"/>
                <w:color w:val="auto"/>
              </w:rPr>
              <w:t>F-14</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1" w:right="339" w:bottom="1440" w:gutter="0" w:footer="0" w:header="0"/>
        </w:sectPr>
      </w:pPr>
    </w:p>
    <w:bookmarkStart w:id="105" w:name="page106"/>
    <w:bookmarkEnd w:id="105"/>
    <w:p>
      <w:pPr>
        <w:ind w:right="140" w:firstLine="646"/>
        <w:spacing w:after="0" w:line="260" w:lineRule="auto"/>
        <w:rPr>
          <w:sz w:val="20"/>
          <w:szCs w:val="20"/>
          <w:color w:val="auto"/>
        </w:rPr>
      </w:pPr>
      <w:r>
        <w:rPr>
          <w:rFonts w:ascii="Times New Roman" w:cs="Times New Roman" w:eastAsia="Times New Roman" w:hAnsi="Times New Roman"/>
          <w:sz w:val="18"/>
          <w:szCs w:val="18"/>
          <w:color w:val="auto"/>
        </w:rPr>
        <w:t>In the fiscal year ended June 30, 2024, due to multiple years of tax incentives being granted and successful lodgement of overseas findings on the Company’s lead assets, the Company changed its estimates for the R&amp;D tax incentive receivable, primarily based on historical experience of claims. This change in estimate resulted in an increase in R&amp;D tax incentive receivable by approximately $9.8 million in the fiscal year ended June 30, 2024. This change also resulted in an increase to other income of approximately $10.8 million.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Property, Plant and Equipment, net</w:t>
            </w:r>
          </w:p>
        </w:tc>
        <w:tc>
          <w:tcPr>
            <w:tcW w:w="2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9"/>
        </w:trPr>
        <w:tc>
          <w:tcPr>
            <w:tcW w:w="60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gridSpan w:val="2"/>
          </w:tcPr>
          <w:p>
            <w:pPr>
              <w:jc w:val="center"/>
              <w:ind w:right="181"/>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15"/>
        </w:trPr>
        <w:tc>
          <w:tcPr>
            <w:tcW w:w="60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8"/>
                <w:szCs w:val="18"/>
                <w:color w:val="auto"/>
              </w:rPr>
            </w:pPr>
          </w:p>
        </w:tc>
      </w:tr>
      <w:tr>
        <w:trPr>
          <w:trHeight w:val="245"/>
        </w:trPr>
        <w:tc>
          <w:tcPr>
            <w:tcW w:w="604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5"/>
        </w:trPr>
        <w:tc>
          <w:tcPr>
            <w:tcW w:w="60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5"/>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r>
      <w:tr>
        <w:trPr>
          <w:trHeight w:val="215"/>
        </w:trPr>
        <w:tc>
          <w:tcPr>
            <w:tcW w:w="6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fittings and equipment</w:t>
            </w:r>
          </w:p>
        </w:tc>
        <w:tc>
          <w:tcPr>
            <w:tcW w:w="2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598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157</w:t>
            </w:r>
          </w:p>
        </w:tc>
      </w:tr>
      <w:tr>
        <w:trPr>
          <w:trHeight w:val="236"/>
        </w:trPr>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Assets under construction</w:t>
            </w:r>
          </w:p>
        </w:tc>
        <w:tc>
          <w:tcPr>
            <w:tcW w:w="2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160</w:t>
            </w:r>
          </w:p>
        </w:tc>
      </w:tr>
      <w:tr>
        <w:trPr>
          <w:trHeight w:val="235"/>
        </w:trPr>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plant and equipment, gross</w:t>
            </w:r>
          </w:p>
        </w:tc>
        <w:tc>
          <w:tcPr>
            <w:tcW w:w="26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9"/>
        </w:trPr>
        <w:tc>
          <w:tcPr>
            <w:tcW w:w="6040" w:type="dxa"/>
            <w:vAlign w:val="bottom"/>
            <w:tcBorders>
              <w:bottom w:val="single" w:sz="8" w:color="CCEEFF"/>
            </w:tcBorders>
          </w:tcPr>
          <w:p>
            <w:pPr>
              <w:spacing w:after="0" w:line="202" w:lineRule="exact"/>
              <w:rPr>
                <w:sz w:val="20"/>
                <w:szCs w:val="20"/>
                <w:color w:val="auto"/>
              </w:rPr>
            </w:pPr>
            <w:r>
              <w:rPr>
                <w:rFonts w:ascii="Times New Roman" w:cs="Times New Roman" w:eastAsia="Times New Roman" w:hAnsi="Times New Roman"/>
                <w:sz w:val="18"/>
                <w:szCs w:val="18"/>
                <w:color w:val="auto"/>
              </w:rPr>
              <w:t>Accumulated depreciation and amortization</w:t>
            </w:r>
          </w:p>
        </w:tc>
        <w:tc>
          <w:tcPr>
            <w:tcW w:w="26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(126</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2"/>
        </w:trPr>
        <w:tc>
          <w:tcPr>
            <w:tcW w:w="6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6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7" w:lineRule="exact"/>
        <w:rPr>
          <w:sz w:val="20"/>
          <w:szCs w:val="20"/>
          <w:color w:val="auto"/>
        </w:rPr>
      </w:pPr>
    </w:p>
    <w:p>
      <w:pPr>
        <w:ind w:right="340" w:firstLine="646"/>
        <w:spacing w:after="0" w:line="281" w:lineRule="auto"/>
        <w:rPr>
          <w:sz w:val="20"/>
          <w:szCs w:val="20"/>
          <w:color w:val="auto"/>
        </w:rPr>
      </w:pPr>
      <w:r>
        <w:rPr>
          <w:rFonts w:ascii="Times New Roman" w:cs="Times New Roman" w:eastAsia="Times New Roman" w:hAnsi="Times New Roman"/>
          <w:sz w:val="18"/>
          <w:szCs w:val="18"/>
          <w:color w:val="auto"/>
        </w:rPr>
        <w:t>Depreciation expense is recorded within general and administrative expense in the Consolidated Statements of Operations and Comprehensive Loss and amounted to $103,000 and $23,000 for the fiscal years ended June 30, 2024 and 2023,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6 – Trade and other payables, accrued expenses and other current liabilities</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130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15"/>
        </w:trPr>
        <w:tc>
          <w:tcPr>
            <w:tcW w:w="130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300" w:type="dxa"/>
            <w:vAlign w:val="bottom"/>
          </w:tcPr>
          <w:p>
            <w:pPr>
              <w:spacing w:after="0"/>
              <w:rPr>
                <w:sz w:val="21"/>
                <w:szCs w:val="21"/>
                <w:color w:val="auto"/>
              </w:rPr>
            </w:pPr>
          </w:p>
        </w:tc>
        <w:tc>
          <w:tcPr>
            <w:tcW w:w="7360" w:type="dxa"/>
            <w:vAlign w:val="bottom"/>
          </w:tcPr>
          <w:p>
            <w:pPr>
              <w:spacing w:after="0"/>
              <w:rPr>
                <w:sz w:val="21"/>
                <w:szCs w:val="21"/>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Current liabilities</w:t>
            </w:r>
          </w:p>
        </w:tc>
        <w:tc>
          <w:tcPr>
            <w:tcW w:w="248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8660" w:type="dxa"/>
            <w:vAlign w:val="bottom"/>
            <w:gridSpan w:val="2"/>
            <w:vMerge w:val="continue"/>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1300" w:type="dxa"/>
            <w:vAlign w:val="bottom"/>
            <w:tcBorders>
              <w:top w:val="single" w:sz="8" w:color="auto"/>
            </w:tcBorders>
          </w:tcPr>
          <w:p>
            <w:pPr>
              <w:spacing w:after="0"/>
              <w:rPr>
                <w:sz w:val="4"/>
                <w:szCs w:val="4"/>
                <w:color w:val="auto"/>
              </w:rPr>
            </w:pPr>
          </w:p>
        </w:tc>
        <w:tc>
          <w:tcPr>
            <w:tcW w:w="7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5"/>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527</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86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trade and other payables</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30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4,512</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Employee leave entitlements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86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trade and other payables, accrued expenses and other current liabilities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5,457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2,437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480" w:firstLine="646"/>
        <w:spacing w:after="0" w:line="281" w:lineRule="auto"/>
        <w:rPr>
          <w:sz w:val="20"/>
          <w:szCs w:val="20"/>
          <w:color w:val="auto"/>
        </w:rPr>
      </w:pPr>
      <w:r>
        <w:rPr>
          <w:rFonts w:ascii="Times New Roman" w:cs="Times New Roman" w:eastAsia="Times New Roman" w:hAnsi="Times New Roman"/>
          <w:sz w:val="18"/>
          <w:szCs w:val="18"/>
          <w:color w:val="auto"/>
        </w:rPr>
        <w:t>Trade and other payables are unsecured, non-interest bearing and are normally settled within 30 days. The carrying amounts are a reasonable approximation of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Leases</w:t>
      </w:r>
    </w:p>
    <w:p>
      <w:pPr>
        <w:spacing w:after="0" w:line="228" w:lineRule="exact"/>
        <w:rPr>
          <w:sz w:val="20"/>
          <w:szCs w:val="20"/>
          <w:color w:val="auto"/>
        </w:rPr>
      </w:pPr>
    </w:p>
    <w:p>
      <w:pPr>
        <w:ind w:right="40" w:firstLine="646"/>
        <w:spacing w:after="0" w:line="257" w:lineRule="auto"/>
        <w:rPr>
          <w:sz w:val="20"/>
          <w:szCs w:val="20"/>
          <w:color w:val="auto"/>
        </w:rPr>
      </w:pPr>
      <w:r>
        <w:rPr>
          <w:rFonts w:ascii="Times New Roman" w:cs="Times New Roman" w:eastAsia="Times New Roman" w:hAnsi="Times New Roman"/>
          <w:sz w:val="18"/>
          <w:szCs w:val="18"/>
          <w:color w:val="auto"/>
        </w:rPr>
        <w:t>For the fiscal year ended June 30, 2023, the Company entered into three new lease agreements for its corporate head office in Sydney, office in Melbourne and Clarion Clinic site in Melbourne. The leases have four, five and three-year terms, respectively. These leases require monthly lease payments that may be subject to annual increases throughout the lease term. Certain of these leases also include renewal options at the election of the Company to renew or extend the lease for an additional three to five years. These optional periods have not been considered in the determination of the right-of-use assets or lease liabilities associated with these leases as the Company did not consider it reasonably certain it would exercise the options.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06" w:name="page107"/>
    <w:bookmarkEnd w:id="106"/>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weighted-average remaining lease term and discount rates for the Company’s operating leases: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12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858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r>
      <w:tr>
        <w:trPr>
          <w:trHeight w:val="215"/>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term (years)</w:t>
            </w:r>
          </w:p>
        </w:tc>
        <w:tc>
          <w:tcPr>
            <w:tcW w:w="11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95"/>
              </w:rPr>
              <w:t>2.32</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95"/>
              </w:rPr>
              <w:t>1.79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138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9.18%</w:t>
            </w:r>
          </w:p>
        </w:tc>
        <w:tc>
          <w:tcPr>
            <w:tcW w:w="128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98"/>
              </w:rPr>
              <w:t>9.18%</w:t>
            </w:r>
          </w:p>
        </w:tc>
      </w:tr>
      <w:tr>
        <w:trPr>
          <w:trHeight w:val="431"/>
        </w:trPr>
        <w:tc>
          <w:tcPr>
            <w:tcW w:w="85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lease costs pertaining to the Company’s operating leases:</w:t>
            </w: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9"/>
        </w:trPr>
        <w:tc>
          <w:tcPr>
            <w:tcW w:w="8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8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15"/>
        </w:trPr>
        <w:tc>
          <w:tcPr>
            <w:tcW w:w="8580" w:type="dxa"/>
            <w:vAlign w:val="bottom"/>
          </w:tcPr>
          <w:p>
            <w:pPr>
              <w:spacing w:after="0"/>
              <w:rPr>
                <w:sz w:val="18"/>
                <w:szCs w:val="18"/>
                <w:color w:val="auto"/>
              </w:rPr>
            </w:pPr>
          </w:p>
        </w:tc>
        <w:tc>
          <w:tcPr>
            <w:tcW w:w="11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8"/>
                <w:szCs w:val="18"/>
                <w:color w:val="auto"/>
              </w:rPr>
            </w:pPr>
          </w:p>
        </w:tc>
        <w:tc>
          <w:tcPr>
            <w:tcW w:w="11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8580" w:type="dxa"/>
            <w:vAlign w:val="bottom"/>
          </w:tcPr>
          <w:p>
            <w:pPr>
              <w:spacing w:after="0"/>
              <w:rPr>
                <w:sz w:val="21"/>
                <w:szCs w:val="21"/>
                <w:color w:val="auto"/>
              </w:rPr>
            </w:pPr>
          </w:p>
        </w:tc>
        <w:tc>
          <w:tcPr>
            <w:tcW w:w="11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21"/>
                <w:szCs w:val="21"/>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5"/>
        </w:trPr>
        <w:tc>
          <w:tcPr>
            <w:tcW w:w="8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80" w:type="dxa"/>
            <w:vAlign w:val="bottom"/>
            <w:tcBorders>
              <w:top w:val="single" w:sz="8" w:color="auto"/>
            </w:tcBorders>
            <w:gridSpan w:val="4"/>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r>
      <w:tr>
        <w:trPr>
          <w:trHeight w:val="215"/>
        </w:trPr>
        <w:tc>
          <w:tcPr>
            <w:tcW w:w="8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w:t>
            </w: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r>
    </w:tbl>
    <w:p>
      <w:pPr>
        <w:spacing w:after="0" w:line="197" w:lineRule="exact"/>
        <w:rPr>
          <w:sz w:val="20"/>
          <w:szCs w:val="20"/>
          <w:color w:val="auto"/>
        </w:rPr>
      </w:pPr>
    </w:p>
    <w:p>
      <w:pPr>
        <w:ind w:right="640" w:firstLine="646"/>
        <w:spacing w:after="0" w:line="281" w:lineRule="auto"/>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during the fiscal years ended June 30, 2024 and 2023 was $172,000 and $66,000, respectively, and was included within net cash used in operating activities in the cash flows.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future minimum lease payments due under operating leases as of June 30, 2024,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15"/>
        </w:trPr>
        <w:tc>
          <w:tcPr>
            <w:tcW w:w="9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r>
      <w:tr>
        <w:trPr>
          <w:trHeight w:val="24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15"/>
        </w:trPr>
        <w:tc>
          <w:tcPr>
            <w:tcW w:w="99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2025</w:t>
            </w: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2026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w:t>
            </w:r>
          </w:p>
        </w:tc>
      </w:tr>
      <w:tr>
        <w:trPr>
          <w:trHeight w:val="215"/>
        </w:trPr>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30, 2027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r>
      <w:tr>
        <w:trPr>
          <w:trHeight w:val="21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2028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r>
      <w:tr>
        <w:trPr>
          <w:trHeight w:val="215"/>
        </w:trPr>
        <w:tc>
          <w:tcPr>
            <w:tcW w:w="9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488</w:t>
            </w:r>
          </w:p>
        </w:tc>
      </w:tr>
      <w:tr>
        <w:trPr>
          <w:trHeight w:val="215"/>
        </w:trPr>
        <w:tc>
          <w:tcPr>
            <w:tcW w:w="9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amount representing interest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r>
      <w:tr>
        <w:trPr>
          <w:trHeight w:val="215"/>
        </w:trPr>
        <w:tc>
          <w:tcPr>
            <w:tcW w:w="9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10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372</w:t>
            </w: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2024, the Company’s operating lease had a weighted-average remaining lease term of 2.32 years and a discount rate of 9.18%.</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Commitments and contingencies</w:t>
      </w:r>
    </w:p>
    <w:p>
      <w:pPr>
        <w:spacing w:after="0" w:line="228" w:lineRule="exact"/>
        <w:rPr>
          <w:sz w:val="20"/>
          <w:szCs w:val="20"/>
          <w:color w:val="auto"/>
        </w:rPr>
      </w:pPr>
    </w:p>
    <w:p>
      <w:pPr>
        <w:ind w:right="20" w:firstLine="646"/>
        <w:spacing w:after="0" w:line="257" w:lineRule="auto"/>
        <w:rPr>
          <w:sz w:val="20"/>
          <w:szCs w:val="20"/>
          <w:color w:val="auto"/>
        </w:rPr>
      </w:pPr>
      <w:r>
        <w:rPr>
          <w:rFonts w:ascii="Times New Roman" w:cs="Times New Roman" w:eastAsia="Times New Roman" w:hAnsi="Times New Roman"/>
          <w:sz w:val="18"/>
          <w:szCs w:val="18"/>
          <w:color w:val="auto"/>
        </w:rPr>
        <w:t>The Company records a loss contingency when it is probable that a liability has been incurred and the amount of the loss can be reasonably estimated. The Company also discloses material contingencies when it believes a loss is not probable but reasonably possible. Accounting for contingencies requires us to use judgment related to both the likelihood of a loss and the estimate of the amount or range of loss. Although the Company cannot predict with assurance the outcome of any litigation or tax matters, it does not believe there are currently any such actions that, if resolved unfavorably, would have a material impact on the Company’s operating results, financial position or cash flows.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Note 9 – Stockholder’s equity/Issued capital</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26" w:lineRule="exact"/>
        <w:rPr>
          <w:sz w:val="20"/>
          <w:szCs w:val="20"/>
          <w:color w:val="auto"/>
        </w:rPr>
      </w:pPr>
    </w:p>
    <w:p>
      <w:pPr>
        <w:ind w:right="220" w:firstLine="646"/>
        <w:spacing w:after="0" w:line="260" w:lineRule="auto"/>
        <w:rPr>
          <w:sz w:val="20"/>
          <w:szCs w:val="20"/>
          <w:color w:val="auto"/>
        </w:rPr>
      </w:pPr>
      <w:r>
        <w:rPr>
          <w:rFonts w:ascii="Times New Roman" w:cs="Times New Roman" w:eastAsia="Times New Roman" w:hAnsi="Times New Roman"/>
          <w:sz w:val="18"/>
          <w:szCs w:val="18"/>
          <w:color w:val="auto"/>
        </w:rPr>
        <w:t>The Company has one class of common stock. In connection with the redomiciliation, the Company’s amended and restated certificate of incorporation became effective, which provides for the issuance of 100 million authorized shares of common stock with a par value of $0.0001 per share, with one vote per share. Holders of common stock are entitled to receive any dividends as may be declared from time to time by the Company’s board of directors.</w:t>
      </w:r>
    </w:p>
    <w:p>
      <w:pPr>
        <w:spacing w:after="0" w:line="181" w:lineRule="exact"/>
        <w:rPr>
          <w:sz w:val="20"/>
          <w:szCs w:val="20"/>
          <w:color w:val="auto"/>
        </w:rPr>
      </w:pPr>
    </w:p>
    <w:p>
      <w:pPr>
        <w:ind w:right="380" w:firstLine="646"/>
        <w:spacing w:after="0" w:line="281" w:lineRule="auto"/>
        <w:rPr>
          <w:sz w:val="20"/>
          <w:szCs w:val="20"/>
          <w:color w:val="auto"/>
        </w:rPr>
      </w:pPr>
      <w:r>
        <w:rPr>
          <w:rFonts w:ascii="Times New Roman" w:cs="Times New Roman" w:eastAsia="Times New Roman" w:hAnsi="Times New Roman"/>
          <w:sz w:val="18"/>
          <w:szCs w:val="18"/>
          <w:color w:val="auto"/>
        </w:rPr>
        <w:t>On November 28, 2023, the Company effected the redomiciliation. All references in these consolidated financial statements to the Company’s outstanding common stock, including per share information, have been retrospectively adjusted to reflect this Re-domiciliation.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660" w:type="dxa"/>
            <w:vAlign w:val="bottom"/>
          </w:tcPr>
          <w:p>
            <w:pPr>
              <w:spacing w:after="0"/>
              <w:rPr>
                <w:sz w:val="18"/>
                <w:szCs w:val="18"/>
                <w:color w:val="auto"/>
              </w:rPr>
            </w:pPr>
          </w:p>
        </w:tc>
        <w:tc>
          <w:tcPr>
            <w:tcW w:w="25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For the fiscal year ended,</w:t>
            </w:r>
          </w:p>
        </w:tc>
      </w:tr>
      <w:tr>
        <w:trPr>
          <w:trHeight w:val="245"/>
        </w:trPr>
        <w:tc>
          <w:tcPr>
            <w:tcW w:w="8660" w:type="dxa"/>
            <w:vAlign w:val="bottom"/>
          </w:tcPr>
          <w:p>
            <w:pPr>
              <w:spacing w:after="0"/>
              <w:rPr>
                <w:sz w:val="21"/>
                <w:szCs w:val="21"/>
                <w:color w:val="auto"/>
              </w:rPr>
            </w:pPr>
          </w:p>
        </w:tc>
        <w:tc>
          <w:tcPr>
            <w:tcW w:w="25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June 30, 2023</w:t>
            </w:r>
          </w:p>
        </w:tc>
      </w:tr>
      <w:tr>
        <w:trPr>
          <w:trHeight w:val="236"/>
        </w:trPr>
        <w:tc>
          <w:tcPr>
            <w:tcW w:w="866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 of shares</w:t>
            </w:r>
          </w:p>
        </w:tc>
        <w:tc>
          <w:tcPr>
            <w:tcW w:w="100" w:type="dxa"/>
            <w:vAlign w:val="bottom"/>
          </w:tcPr>
          <w:p>
            <w:pPr>
              <w:spacing w:after="0"/>
              <w:rPr>
                <w:sz w:val="20"/>
                <w:szCs w:val="20"/>
                <w:color w:val="auto"/>
              </w:rPr>
            </w:pPr>
          </w:p>
        </w:tc>
      </w:tr>
      <w:tr>
        <w:trPr>
          <w:trHeight w:val="193"/>
        </w:trPr>
        <w:tc>
          <w:tcPr>
            <w:tcW w:w="8660" w:type="dxa"/>
            <w:vAlign w:val="bottom"/>
          </w:tcPr>
          <w:p>
            <w:pPr>
              <w:spacing w:after="0"/>
              <w:rPr>
                <w:sz w:val="16"/>
                <w:szCs w:val="16"/>
                <w:color w:val="auto"/>
              </w:rPr>
            </w:pPr>
          </w:p>
        </w:tc>
        <w:tc>
          <w:tcPr>
            <w:tcW w:w="2480" w:type="dxa"/>
            <w:vAlign w:val="bottom"/>
            <w:gridSpan w:val="3"/>
          </w:tcPr>
          <w:p>
            <w:pPr>
              <w:jc w:val="center"/>
              <w:spacing w:after="0" w:line="193" w:lineRule="exact"/>
              <w:rPr>
                <w:sz w:val="20"/>
                <w:szCs w:val="20"/>
                <w:color w:val="auto"/>
              </w:rPr>
            </w:pPr>
            <w:r>
              <w:rPr>
                <w:rFonts w:ascii="Times New Roman" w:cs="Times New Roman" w:eastAsia="Times New Roman" w:hAnsi="Times New Roman"/>
                <w:sz w:val="18"/>
                <w:szCs w:val="18"/>
                <w:b w:val="1"/>
                <w:bCs w:val="1"/>
                <w:color w:val="auto"/>
                <w:w w:val="99"/>
              </w:rPr>
              <w:t>(in thousands, except per</w:t>
            </w:r>
          </w:p>
        </w:tc>
        <w:tc>
          <w:tcPr>
            <w:tcW w:w="100" w:type="dxa"/>
            <w:vAlign w:val="bottom"/>
          </w:tcPr>
          <w:p>
            <w:pPr>
              <w:spacing w:after="0"/>
              <w:rPr>
                <w:sz w:val="16"/>
                <w:szCs w:val="16"/>
                <w:color w:val="auto"/>
              </w:rPr>
            </w:pPr>
          </w:p>
        </w:tc>
      </w:tr>
      <w:tr>
        <w:trPr>
          <w:trHeight w:val="238"/>
        </w:trPr>
        <w:tc>
          <w:tcPr>
            <w:tcW w:w="8660" w:type="dxa"/>
            <w:vAlign w:val="bottom"/>
          </w:tcPr>
          <w:p>
            <w:pPr>
              <w:spacing w:after="0"/>
              <w:rPr>
                <w:sz w:val="20"/>
                <w:szCs w:val="20"/>
                <w:color w:val="auto"/>
              </w:rPr>
            </w:pPr>
          </w:p>
        </w:tc>
        <w:tc>
          <w:tcPr>
            <w:tcW w:w="25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share data)</w:t>
            </w:r>
          </w:p>
        </w:tc>
      </w:tr>
      <w:tr>
        <w:trPr>
          <w:trHeight w:val="215"/>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balance</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12,926,349</w:t>
            </w:r>
          </w:p>
        </w:tc>
      </w:tr>
      <w:tr>
        <w:trPr>
          <w:trHeight w:val="215"/>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Issues of new shares – placements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634,146</w:t>
            </w:r>
          </w:p>
        </w:tc>
      </w:tr>
      <w:tr>
        <w:trPr>
          <w:trHeight w:val="215"/>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Issues of new shares – acquisition</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2,181,695</w:t>
            </w:r>
          </w:p>
        </w:tc>
      </w:tr>
      <w:tr>
        <w:trPr>
          <w:trHeight w:val="215"/>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Issues of new shares – employees and directors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options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w:t>
            </w:r>
          </w:p>
        </w:tc>
      </w:tr>
      <w:tr>
        <w:trPr>
          <w:trHeight w:val="215"/>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Shares in lieu of advisor fees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130,902</w:t>
            </w:r>
          </w:p>
        </w:tc>
      </w:tr>
      <w:tr>
        <w:trPr>
          <w:trHeight w:val="215"/>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issue costs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Closing balance</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15,873,113</w:t>
            </w:r>
          </w:p>
        </w:tc>
      </w:tr>
      <w:tr>
        <w:trPr>
          <w:trHeight w:val="390"/>
        </w:trPr>
        <w:tc>
          <w:tcPr>
            <w:tcW w:w="8660" w:type="dxa"/>
            <w:vAlign w:val="bottom"/>
          </w:tcPr>
          <w:p>
            <w:pPr>
              <w:spacing w:after="0"/>
              <w:rPr>
                <w:sz w:val="24"/>
                <w:szCs w:val="24"/>
                <w:color w:val="auto"/>
              </w:rPr>
            </w:pPr>
          </w:p>
        </w:tc>
        <w:tc>
          <w:tcPr>
            <w:tcW w:w="25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For the fiscal year ended</w:t>
            </w:r>
          </w:p>
        </w:tc>
      </w:tr>
      <w:tr>
        <w:trPr>
          <w:trHeight w:val="245"/>
        </w:trPr>
        <w:tc>
          <w:tcPr>
            <w:tcW w:w="8660" w:type="dxa"/>
            <w:vAlign w:val="bottom"/>
          </w:tcPr>
          <w:p>
            <w:pPr>
              <w:spacing w:after="0"/>
              <w:rPr>
                <w:sz w:val="21"/>
                <w:szCs w:val="21"/>
                <w:color w:val="auto"/>
              </w:rPr>
            </w:pPr>
          </w:p>
        </w:tc>
        <w:tc>
          <w:tcPr>
            <w:tcW w:w="25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r>
      <w:tr>
        <w:trPr>
          <w:trHeight w:val="236"/>
        </w:trPr>
        <w:tc>
          <w:tcPr>
            <w:tcW w:w="8660" w:type="dxa"/>
            <w:vAlign w:val="bottom"/>
            <w:tcBorders>
              <w:bottom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 of shares</w:t>
            </w:r>
          </w:p>
        </w:tc>
        <w:tc>
          <w:tcPr>
            <w:tcW w:w="100" w:type="dxa"/>
            <w:vAlign w:val="bottom"/>
            <w:tcBorders>
              <w:bottom w:val="single" w:sz="8" w:color="CCEEFF"/>
            </w:tcBorders>
          </w:tcPr>
          <w:p>
            <w:pPr>
              <w:spacing w:after="0"/>
              <w:rPr>
                <w:sz w:val="20"/>
                <w:szCs w:val="20"/>
                <w:color w:val="auto"/>
              </w:rPr>
            </w:pPr>
          </w:p>
        </w:tc>
      </w:tr>
      <w:tr>
        <w:trPr>
          <w:trHeight w:val="215"/>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balance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15,873,113</w:t>
            </w:r>
          </w:p>
        </w:tc>
        <w:tc>
          <w:tcPr>
            <w:tcW w:w="100" w:type="dxa"/>
            <w:vAlign w:val="bottom"/>
            <w:shd w:val="clear" w:color="auto" w:fill="CCEEFF"/>
          </w:tcPr>
          <w:p>
            <w:pPr>
              <w:spacing w:after="0"/>
              <w:rPr>
                <w:sz w:val="18"/>
                <w:szCs w:val="18"/>
                <w:color w:val="auto"/>
              </w:rPr>
            </w:pPr>
          </w:p>
        </w:tc>
      </w:tr>
      <w:tr>
        <w:trPr>
          <w:trHeight w:val="215"/>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Issues of new shares – placements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Issues of new shares – acquisition</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Issues of new shares – employees and directors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1,769,719</w:t>
            </w:r>
          </w:p>
        </w:tc>
      </w:tr>
      <w:tr>
        <w:trPr>
          <w:trHeight w:val="215"/>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options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Shares in lieu of advisor fees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issue costs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Closing balance</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17,642,832</w:t>
            </w:r>
          </w:p>
        </w:tc>
      </w:tr>
      <w:tr>
        <w:trPr>
          <w:trHeight w:val="413"/>
        </w:trPr>
        <w:tc>
          <w:tcPr>
            <w:tcW w:w="8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 Additional paid-in capital</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1"/>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9"/>
        </w:trPr>
        <w:tc>
          <w:tcPr>
            <w:tcW w:w="8660" w:type="dxa"/>
            <w:vAlign w:val="bottom"/>
          </w:tcPr>
          <w:p>
            <w:pPr>
              <w:spacing w:after="0"/>
              <w:rPr>
                <w:sz w:val="24"/>
                <w:szCs w:val="24"/>
                <w:color w:val="auto"/>
              </w:rPr>
            </w:pPr>
          </w:p>
        </w:tc>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15"/>
        </w:trPr>
        <w:tc>
          <w:tcPr>
            <w:tcW w:w="86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45"/>
        </w:trPr>
        <w:tc>
          <w:tcPr>
            <w:tcW w:w="866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193"/>
        </w:trPr>
        <w:tc>
          <w:tcPr>
            <w:tcW w:w="8660" w:type="dxa"/>
            <w:vAlign w:val="bottom"/>
          </w:tcPr>
          <w:p>
            <w:pPr>
              <w:spacing w:after="0"/>
              <w:rPr>
                <w:sz w:val="16"/>
                <w:szCs w:val="16"/>
                <w:color w:val="auto"/>
              </w:rPr>
            </w:pPr>
          </w:p>
        </w:tc>
        <w:tc>
          <w:tcPr>
            <w:tcW w:w="2480" w:type="dxa"/>
            <w:vAlign w:val="bottom"/>
            <w:gridSpan w:val="3"/>
          </w:tcPr>
          <w:p>
            <w:pPr>
              <w:jc w:val="center"/>
              <w:spacing w:after="0" w:line="193" w:lineRule="exact"/>
              <w:rPr>
                <w:sz w:val="20"/>
                <w:szCs w:val="20"/>
                <w:color w:val="auto"/>
              </w:rPr>
            </w:pPr>
            <w:r>
              <w:rPr>
                <w:rFonts w:ascii="Times New Roman" w:cs="Times New Roman" w:eastAsia="Times New Roman" w:hAnsi="Times New Roman"/>
                <w:sz w:val="18"/>
                <w:szCs w:val="18"/>
                <w:b w:val="1"/>
                <w:bCs w:val="1"/>
                <w:color w:val="auto"/>
                <w:w w:val="99"/>
              </w:rPr>
              <w:t>(in thousands, expect per</w:t>
            </w:r>
          </w:p>
        </w:tc>
        <w:tc>
          <w:tcPr>
            <w:tcW w:w="100" w:type="dxa"/>
            <w:vAlign w:val="bottom"/>
          </w:tcPr>
          <w:p>
            <w:pPr>
              <w:spacing w:after="0"/>
              <w:rPr>
                <w:sz w:val="16"/>
                <w:szCs w:val="16"/>
                <w:color w:val="auto"/>
              </w:rPr>
            </w:pPr>
          </w:p>
        </w:tc>
      </w:tr>
      <w:tr>
        <w:trPr>
          <w:trHeight w:val="238"/>
        </w:trPr>
        <w:tc>
          <w:tcPr>
            <w:tcW w:w="8660" w:type="dxa"/>
            <w:vAlign w:val="bottom"/>
          </w:tcPr>
          <w:p>
            <w:pPr>
              <w:spacing w:after="0"/>
              <w:rPr>
                <w:sz w:val="20"/>
                <w:szCs w:val="20"/>
                <w:color w:val="auto"/>
              </w:rPr>
            </w:pPr>
          </w:p>
        </w:tc>
        <w:tc>
          <w:tcPr>
            <w:tcW w:w="25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share data)</w:t>
            </w:r>
          </w:p>
        </w:tc>
      </w:tr>
      <w:tr>
        <w:trPr>
          <w:trHeight w:val="215"/>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Opening balance</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116,290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69,074</w:t>
            </w:r>
          </w:p>
        </w:tc>
      </w:tr>
      <w:tr>
        <w:trPr>
          <w:trHeight w:val="256"/>
        </w:trPr>
        <w:tc>
          <w:tcPr>
            <w:tcW w:w="86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Options issued to advisors</w:t>
            </w:r>
            <w:r>
              <w:rPr>
                <w:rFonts w:ascii="Times New Roman" w:cs="Times New Roman" w:eastAsia="Times New Roman" w:hAnsi="Times New Roman"/>
                <w:sz w:val="29"/>
                <w:szCs w:val="29"/>
                <w:color w:val="auto"/>
                <w:vertAlign w:val="superscript"/>
              </w:rPr>
              <w:t>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476</w:t>
            </w:r>
          </w:p>
        </w:tc>
      </w:tr>
      <w:tr>
        <w:trPr>
          <w:trHeight w:val="215"/>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Issues of new options – placement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r>
      <w:tr>
        <w:trPr>
          <w:trHeight w:val="256"/>
        </w:trPr>
        <w:tc>
          <w:tcPr>
            <w:tcW w:w="86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Equity instruments issued to management and directors</w:t>
            </w:r>
            <w:r>
              <w:rPr>
                <w:rFonts w:ascii="Times New Roman" w:cs="Times New Roman" w:eastAsia="Times New Roman" w:hAnsi="Times New Roman"/>
                <w:sz w:val="29"/>
                <w:szCs w:val="29"/>
                <w:color w:val="auto"/>
                <w:vertAlign w:val="superscript"/>
              </w:rPr>
              <w:t>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8,928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2,149</w:t>
            </w:r>
          </w:p>
        </w:tc>
      </w:tr>
      <w:tr>
        <w:trPr>
          <w:trHeight w:val="256"/>
        </w:trPr>
        <w:tc>
          <w:tcPr>
            <w:tcW w:w="86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Share placements</w:t>
            </w:r>
            <w:r>
              <w:rPr>
                <w:rFonts w:ascii="Times New Roman" w:cs="Times New Roman" w:eastAsia="Times New Roman" w:hAnsi="Times New Roman"/>
                <w:sz w:val="29"/>
                <w:szCs w:val="29"/>
                <w:color w:val="auto"/>
                <w:vertAlign w:val="superscript"/>
              </w:rPr>
              <w:t>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8,830</w:t>
            </w:r>
          </w:p>
        </w:tc>
      </w:tr>
      <w:tr>
        <w:trPr>
          <w:trHeight w:val="256"/>
        </w:trPr>
        <w:tc>
          <w:tcPr>
            <w:tcW w:w="86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Share issued to advisors</w:t>
            </w:r>
            <w:r>
              <w:rPr>
                <w:rFonts w:ascii="Times New Roman" w:cs="Times New Roman" w:eastAsia="Times New Roman" w:hAnsi="Times New Roman"/>
                <w:sz w:val="29"/>
                <w:szCs w:val="29"/>
                <w:color w:val="auto"/>
                <w:vertAlign w:val="superscript"/>
              </w:rPr>
              <w:t>5</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2,050</w:t>
            </w:r>
          </w:p>
        </w:tc>
      </w:tr>
      <w:tr>
        <w:trPr>
          <w:trHeight w:val="256"/>
        </w:trPr>
        <w:tc>
          <w:tcPr>
            <w:tcW w:w="86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Asset acquisition shares issued</w:t>
            </w:r>
            <w:r>
              <w:rPr>
                <w:rFonts w:ascii="Times New Roman" w:cs="Times New Roman" w:eastAsia="Times New Roman" w:hAnsi="Times New Roman"/>
                <w:sz w:val="29"/>
                <w:szCs w:val="29"/>
                <w:color w:val="auto"/>
                <w:vertAlign w:val="superscript"/>
              </w:rPr>
              <w:t>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34,170</w:t>
            </w:r>
          </w:p>
        </w:tc>
      </w:tr>
      <w:tr>
        <w:trPr>
          <w:trHeight w:val="256"/>
        </w:trPr>
        <w:tc>
          <w:tcPr>
            <w:tcW w:w="86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Issuance costs</w:t>
            </w:r>
            <w:r>
              <w:rPr>
                <w:rFonts w:ascii="Times New Roman" w:cs="Times New Roman" w:eastAsia="Times New Roman" w:hAnsi="Times New Roman"/>
                <w:sz w:val="29"/>
                <w:szCs w:val="29"/>
                <w:color w:val="auto"/>
                <w:vertAlign w:val="superscript"/>
              </w:rPr>
              <w:t>6</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(529)</w:t>
            </w:r>
          </w:p>
        </w:tc>
      </w:tr>
      <w:tr>
        <w:trPr>
          <w:trHeight w:val="215"/>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125,218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116,290</w:t>
            </w:r>
          </w:p>
        </w:tc>
      </w:tr>
    </w:tbl>
    <w:p>
      <w:pPr>
        <w:spacing w:after="0" w:line="195" w:lineRule="exact"/>
        <w:rPr>
          <w:sz w:val="20"/>
          <w:szCs w:val="20"/>
          <w:color w:val="auto"/>
        </w:rPr>
      </w:pPr>
    </w:p>
    <w:p>
      <w:pPr>
        <w:ind w:left="340" w:right="20" w:hanging="332"/>
        <w:spacing w:after="0" w:line="196" w:lineRule="auto"/>
        <w:tabs>
          <w:tab w:leader="none" w:pos="340" w:val="left"/>
        </w:tabs>
        <w:numPr>
          <w:ilvl w:val="0"/>
          <w:numId w:val="49"/>
        </w:numPr>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18"/>
          <w:szCs w:val="18"/>
          <w:i w:val="1"/>
          <w:iCs w:val="1"/>
          <w:color w:val="auto"/>
        </w:rPr>
        <w:t>In August 2022, Incannex Australia issued 9,000,000 options to Ryba LLC pursuant to the mandate executed between the parties in November 2021. As the transaction between the Company and APIRx was deemed complete in August 2022, the options were issued then.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08" w:name="page109"/>
    <w:bookmarkEnd w:id="108"/>
    <w:p>
      <w:pPr>
        <w:ind w:left="340" w:hanging="332"/>
        <w:spacing w:after="0"/>
        <w:tabs>
          <w:tab w:leader="none" w:pos="340" w:val="left"/>
        </w:tabs>
        <w:numPr>
          <w:ilvl w:val="0"/>
          <w:numId w:val="50"/>
        </w:numPr>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18"/>
          <w:szCs w:val="18"/>
          <w:i w:val="1"/>
          <w:iCs w:val="1"/>
          <w:color w:val="auto"/>
        </w:rPr>
        <w:t>Relates to the amortization of shares and options issued as stock-based payments during the current and prior periods.</w:t>
      </w:r>
    </w:p>
    <w:p>
      <w:pPr>
        <w:spacing w:after="0" w:line="195" w:lineRule="exact"/>
        <w:rPr>
          <w:sz w:val="20"/>
          <w:szCs w:val="20"/>
          <w:color w:val="auto"/>
        </w:rPr>
      </w:pPr>
    </w:p>
    <w:p>
      <w:pPr>
        <w:ind w:left="340" w:right="120" w:hanging="332"/>
        <w:spacing w:after="0" w:line="196" w:lineRule="auto"/>
        <w:tabs>
          <w:tab w:leader="none" w:pos="340" w:val="left"/>
        </w:tabs>
        <w:numPr>
          <w:ilvl w:val="0"/>
          <w:numId w:val="51"/>
        </w:numPr>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18"/>
          <w:szCs w:val="18"/>
          <w:i w:val="1"/>
          <w:iCs w:val="1"/>
          <w:color w:val="auto"/>
        </w:rPr>
        <w:t>In December 2022, Incannex Australia raised $8.83 million from a placement of 634,146 ordinary shares to institutional and professional investors in a private placement.</w:t>
      </w:r>
    </w:p>
    <w:p>
      <w:pPr>
        <w:spacing w:after="0" w:line="196" w:lineRule="exact"/>
        <w:rPr>
          <w:sz w:val="20"/>
          <w:szCs w:val="20"/>
          <w:color w:val="auto"/>
        </w:rPr>
      </w:pPr>
    </w:p>
    <w:p>
      <w:pPr>
        <w:ind w:left="340" w:right="260" w:hanging="332"/>
        <w:spacing w:after="0" w:line="196" w:lineRule="auto"/>
        <w:tabs>
          <w:tab w:leader="none" w:pos="340" w:val="left"/>
        </w:tabs>
        <w:numPr>
          <w:ilvl w:val="0"/>
          <w:numId w:val="52"/>
        </w:numPr>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18"/>
          <w:szCs w:val="18"/>
          <w:i w:val="1"/>
          <w:iCs w:val="1"/>
          <w:color w:val="auto"/>
        </w:rPr>
        <w:t>In August 2022, Incannex Australia completed the acquisition on APIRx Pharmaceuticals via the issuance of 2,181,695 ordinary shares of Incannex Australia to the owners of APIRx in an all–scrip transaction.</w:t>
      </w:r>
    </w:p>
    <w:p>
      <w:pPr>
        <w:spacing w:after="0" w:line="87" w:lineRule="exact"/>
        <w:rPr>
          <w:sz w:val="20"/>
          <w:szCs w:val="20"/>
          <w:color w:val="auto"/>
        </w:rPr>
      </w:pPr>
    </w:p>
    <w:p>
      <w:pPr>
        <w:ind w:left="340" w:hanging="332"/>
        <w:spacing w:after="0"/>
        <w:tabs>
          <w:tab w:leader="none" w:pos="340" w:val="left"/>
        </w:tabs>
        <w:numPr>
          <w:ilvl w:val="0"/>
          <w:numId w:val="53"/>
        </w:numPr>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18"/>
          <w:szCs w:val="18"/>
          <w:i w:val="1"/>
          <w:iCs w:val="1"/>
          <w:color w:val="auto"/>
        </w:rPr>
        <w:t>In August 2022, Incannex Australia issued 130,902 ordinary shares to Ryba LLC as lead M&amp;A Advisors on the APIRx acquisition.</w:t>
      </w:r>
    </w:p>
    <w:p>
      <w:pPr>
        <w:spacing w:after="0" w:line="195" w:lineRule="exact"/>
        <w:rPr>
          <w:sz w:val="20"/>
          <w:szCs w:val="20"/>
          <w:color w:val="auto"/>
        </w:rPr>
      </w:pPr>
    </w:p>
    <w:p>
      <w:pPr>
        <w:ind w:left="340" w:right="40" w:hanging="332"/>
        <w:spacing w:after="0" w:line="196" w:lineRule="auto"/>
        <w:tabs>
          <w:tab w:leader="none" w:pos="340" w:val="left"/>
        </w:tabs>
        <w:numPr>
          <w:ilvl w:val="0"/>
          <w:numId w:val="54"/>
        </w:numPr>
        <w:rPr>
          <w:rFonts w:ascii="Times New Roman" w:cs="Times New Roman" w:eastAsia="Times New Roman" w:hAnsi="Times New Roman"/>
          <w:sz w:val="30"/>
          <w:szCs w:val="30"/>
          <w:i w:val="1"/>
          <w:iCs w:val="1"/>
          <w:color w:val="auto"/>
          <w:vertAlign w:val="superscript"/>
        </w:rPr>
      </w:pPr>
      <w:r>
        <w:rPr>
          <w:rFonts w:ascii="Times New Roman" w:cs="Times New Roman" w:eastAsia="Times New Roman" w:hAnsi="Times New Roman"/>
          <w:sz w:val="18"/>
          <w:szCs w:val="18"/>
          <w:i w:val="1"/>
          <w:iCs w:val="1"/>
          <w:color w:val="auto"/>
        </w:rPr>
        <w:t>In December 2022, Incannex Australia paid a commission of $530,000 to Bell Potter, as placement agent, for its services leading the private placement completed that month.</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equity-based premium reserve is used to record the value of equity issued to raise capital, and for stock-based payments.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 General and Administration expenses</w:t>
            </w:r>
          </w:p>
        </w:tc>
        <w:tc>
          <w:tcPr>
            <w:tcW w:w="4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45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36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15"/>
        </w:trPr>
        <w:tc>
          <w:tcPr>
            <w:tcW w:w="4540" w:type="dxa"/>
            <w:vAlign w:val="bottom"/>
          </w:tcPr>
          <w:p>
            <w:pPr>
              <w:spacing w:after="0"/>
              <w:rPr>
                <w:sz w:val="18"/>
                <w:szCs w:val="18"/>
                <w:color w:val="auto"/>
              </w:rPr>
            </w:pPr>
          </w:p>
        </w:tc>
        <w:tc>
          <w:tcPr>
            <w:tcW w:w="5260" w:type="dxa"/>
            <w:vAlign w:val="bottom"/>
            <w:gridSpan w:val="2"/>
          </w:tcPr>
          <w:p>
            <w:pPr>
              <w:jc w:val="center"/>
              <w:ind w:left="40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540" w:type="dxa"/>
            <w:vAlign w:val="bottom"/>
          </w:tcPr>
          <w:p>
            <w:pPr>
              <w:spacing w:after="0"/>
              <w:rPr>
                <w:sz w:val="21"/>
                <w:szCs w:val="21"/>
                <w:color w:val="auto"/>
              </w:rPr>
            </w:pPr>
          </w:p>
        </w:tc>
        <w:tc>
          <w:tcPr>
            <w:tcW w:w="5260" w:type="dxa"/>
            <w:vAlign w:val="bottom"/>
            <w:gridSpan w:val="2"/>
          </w:tcPr>
          <w:p>
            <w:pPr>
              <w:jc w:val="center"/>
              <w:ind w:left="40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5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480" w:type="dxa"/>
            <w:vAlign w:val="bottom"/>
            <w:tcBorders>
              <w:top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Salaries, and other employee benefits</w:t>
            </w:r>
          </w:p>
        </w:tc>
        <w:tc>
          <w:tcPr>
            <w:tcW w:w="548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(2,809)</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0" w:type="dxa"/>
            <w:vAlign w:val="bottom"/>
          </w:tcPr>
          <w:p>
            <w:pPr>
              <w:spacing w:after="0"/>
              <w:rPr>
                <w:sz w:val="1"/>
                <w:szCs w:val="1"/>
                <w:color w:val="auto"/>
              </w:rPr>
            </w:pPr>
          </w:p>
        </w:tc>
      </w:tr>
      <w:tr>
        <w:trPr>
          <w:trHeight w:val="215"/>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Stock-based payments expense</w:t>
            </w:r>
          </w:p>
        </w:tc>
        <w:tc>
          <w:tcPr>
            <w:tcW w:w="548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(8,928)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0" w:type="dxa"/>
            <w:vAlign w:val="bottom"/>
          </w:tcPr>
          <w:p>
            <w:pPr>
              <w:spacing w:after="0"/>
              <w:rPr>
                <w:sz w:val="1"/>
                <w:szCs w:val="1"/>
                <w:color w:val="auto"/>
              </w:rPr>
            </w:pPr>
          </w:p>
        </w:tc>
      </w:tr>
      <w:tr>
        <w:trPr>
          <w:trHeight w:val="215"/>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548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(103)</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5"/>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Compliance, legal and regulatory</w:t>
            </w:r>
          </w:p>
        </w:tc>
        <w:tc>
          <w:tcPr>
            <w:tcW w:w="548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(3,108)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0" w:type="dxa"/>
            <w:vAlign w:val="bottom"/>
          </w:tcPr>
          <w:p>
            <w:pPr>
              <w:spacing w:after="0"/>
              <w:rPr>
                <w:sz w:val="1"/>
                <w:szCs w:val="1"/>
                <w:color w:val="auto"/>
              </w:rPr>
            </w:pPr>
          </w:p>
        </w:tc>
      </w:tr>
      <w:tr>
        <w:trPr>
          <w:trHeight w:val="215"/>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Occupancy expenses</w:t>
            </w:r>
          </w:p>
        </w:tc>
        <w:tc>
          <w:tcPr>
            <w:tcW w:w="548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(348)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5"/>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Advertising and investor relations</w:t>
            </w:r>
          </w:p>
        </w:tc>
        <w:tc>
          <w:tcPr>
            <w:tcW w:w="548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(1,055)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0" w:type="dxa"/>
            <w:vAlign w:val="bottom"/>
          </w:tcPr>
          <w:p>
            <w:pPr>
              <w:spacing w:after="0"/>
              <w:rPr>
                <w:sz w:val="1"/>
                <w:szCs w:val="1"/>
                <w:color w:val="auto"/>
              </w:rPr>
            </w:pPr>
          </w:p>
        </w:tc>
      </w:tr>
      <w:tr>
        <w:trPr>
          <w:trHeight w:val="249"/>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administration expenses</w:t>
            </w:r>
          </w:p>
        </w:tc>
        <w:tc>
          <w:tcPr>
            <w:tcW w:w="548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(823)</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36"/>
        </w:trPr>
        <w:tc>
          <w:tcPr>
            <w:tcW w:w="45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general and administration expenses</w:t>
            </w:r>
          </w:p>
        </w:tc>
        <w:tc>
          <w:tcPr>
            <w:tcW w:w="4120" w:type="dxa"/>
            <w:vAlign w:val="bottom"/>
            <w:tcBorders>
              <w:top w:val="single" w:sz="8" w:color="CCEEFF"/>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(17,174</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(8,012</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12 – Stock-based payments</w:t>
            </w:r>
          </w:p>
        </w:tc>
        <w:tc>
          <w:tcPr>
            <w:tcW w:w="4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1"/>
        </w:trPr>
        <w:tc>
          <w:tcPr>
            <w:tcW w:w="4540" w:type="dxa"/>
            <w:vAlign w:val="bottom"/>
            <w:vMerge w:val="continue"/>
          </w:tcPr>
          <w:p>
            <w:pPr>
              <w:spacing w:after="0"/>
              <w:rPr>
                <w:sz w:val="24"/>
                <w:szCs w:val="24"/>
                <w:color w:val="auto"/>
              </w:rPr>
            </w:pPr>
          </w:p>
        </w:tc>
        <w:tc>
          <w:tcPr>
            <w:tcW w:w="4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45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36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15"/>
        </w:trPr>
        <w:tc>
          <w:tcPr>
            <w:tcW w:w="4540" w:type="dxa"/>
            <w:vAlign w:val="bottom"/>
          </w:tcPr>
          <w:p>
            <w:pPr>
              <w:spacing w:after="0"/>
              <w:rPr>
                <w:sz w:val="18"/>
                <w:szCs w:val="18"/>
                <w:color w:val="auto"/>
              </w:rPr>
            </w:pPr>
          </w:p>
        </w:tc>
        <w:tc>
          <w:tcPr>
            <w:tcW w:w="5260" w:type="dxa"/>
            <w:vAlign w:val="bottom"/>
            <w:gridSpan w:val="2"/>
          </w:tcPr>
          <w:p>
            <w:pPr>
              <w:jc w:val="center"/>
              <w:ind w:left="40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540" w:type="dxa"/>
            <w:vAlign w:val="bottom"/>
          </w:tcPr>
          <w:p>
            <w:pPr>
              <w:spacing w:after="0"/>
              <w:rPr>
                <w:sz w:val="21"/>
                <w:szCs w:val="21"/>
                <w:color w:val="auto"/>
              </w:rPr>
            </w:pPr>
          </w:p>
        </w:tc>
        <w:tc>
          <w:tcPr>
            <w:tcW w:w="5260" w:type="dxa"/>
            <w:vAlign w:val="bottom"/>
            <w:gridSpan w:val="2"/>
          </w:tcPr>
          <w:p>
            <w:pPr>
              <w:jc w:val="center"/>
              <w:ind w:left="40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5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480" w:type="dxa"/>
            <w:vAlign w:val="bottom"/>
            <w:tcBorders>
              <w:top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5480" w:type="dxa"/>
            <w:vAlign w:val="bottom"/>
            <w:gridSpan w:val="3"/>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480" w:type="dxa"/>
            <w:vAlign w:val="bottom"/>
            <w:gridSpan w:val="3"/>
          </w:tcPr>
          <w:p>
            <w:pPr>
              <w:jc w:val="right"/>
              <w:ind w:right="81"/>
              <w:spacing w:after="0"/>
              <w:rPr>
                <w:sz w:val="20"/>
                <w:szCs w:val="20"/>
                <w:color w:val="auto"/>
              </w:rPr>
            </w:pPr>
            <w:r>
              <w:rPr>
                <w:rFonts w:ascii="Times New Roman" w:cs="Times New Roman" w:eastAsia="Times New Roman" w:hAnsi="Times New Roman"/>
                <w:sz w:val="18"/>
                <w:szCs w:val="18"/>
                <w:color w:val="auto"/>
              </w:rPr>
              <w:t>(8,928)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0" w:type="dxa"/>
            <w:vAlign w:val="bottom"/>
          </w:tcPr>
          <w:p>
            <w:pPr>
              <w:spacing w:after="0"/>
              <w:rPr>
                <w:sz w:val="1"/>
                <w:szCs w:val="1"/>
                <w:color w:val="auto"/>
              </w:rPr>
            </w:pPr>
          </w:p>
        </w:tc>
      </w:tr>
      <w:tr>
        <w:trPr>
          <w:trHeight w:val="215"/>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5480" w:type="dxa"/>
            <w:vAlign w:val="bottom"/>
            <w:gridSpan w:val="3"/>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(8,928)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(2,149)</w:t>
            </w:r>
          </w:p>
        </w:tc>
        <w:tc>
          <w:tcPr>
            <w:tcW w:w="0" w:type="dxa"/>
            <w:vAlign w:val="bottom"/>
          </w:tcPr>
          <w:p>
            <w:pPr>
              <w:spacing w:after="0"/>
              <w:rPr>
                <w:sz w:val="1"/>
                <w:szCs w:val="1"/>
                <w:color w:val="auto"/>
              </w:rPr>
            </w:pPr>
          </w:p>
        </w:tc>
      </w:tr>
      <w:tr>
        <w:trPr>
          <w:trHeight w:val="653"/>
        </w:trPr>
        <w:tc>
          <w:tcPr>
            <w:tcW w:w="454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gridSpan w:val="3"/>
          </w:tcPr>
          <w:p>
            <w:pPr>
              <w:jc w:val="right"/>
              <w:ind w:right="4141"/>
              <w:spacing w:after="0"/>
              <w:rPr>
                <w:sz w:val="20"/>
                <w:szCs w:val="20"/>
                <w:color w:val="auto"/>
              </w:rPr>
            </w:pPr>
            <w:r>
              <w:rPr>
                <w:rFonts w:ascii="Times New Roman" w:cs="Times New Roman" w:eastAsia="Times New Roman" w:hAnsi="Times New Roman"/>
                <w:sz w:val="18"/>
                <w:szCs w:val="18"/>
                <w:color w:val="auto"/>
              </w:rPr>
              <w:t>F-18</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4" w:right="339" w:bottom="1440" w:gutter="0" w:footer="0" w:header="0"/>
        </w:sectPr>
      </w:pPr>
    </w:p>
    <w:bookmarkStart w:id="109" w:name="page110"/>
    <w:bookmarkEnd w:id="10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Restricted stocks</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1"/>
        </w:trPr>
        <w:tc>
          <w:tcPr>
            <w:tcW w:w="100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A summary of the changes in the Company’s restricted stock activity for the fiscal year ended June 30, 2024, are as follows: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9"/>
        </w:trPr>
        <w:tc>
          <w:tcPr>
            <w:tcW w:w="8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5"/>
        </w:trPr>
        <w:tc>
          <w:tcPr>
            <w:tcW w:w="8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5"/>
        </w:trPr>
        <w:tc>
          <w:tcPr>
            <w:tcW w:w="866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Numbers of</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Grant Date</w:t>
            </w:r>
          </w:p>
        </w:tc>
      </w:tr>
      <w:tr>
        <w:trPr>
          <w:trHeight w:val="245"/>
        </w:trPr>
        <w:tc>
          <w:tcPr>
            <w:tcW w:w="8660" w:type="dxa"/>
            <w:vAlign w:val="bottom"/>
          </w:tcPr>
          <w:p>
            <w:pPr>
              <w:spacing w:after="0"/>
              <w:rPr>
                <w:sz w:val="21"/>
                <w:szCs w:val="21"/>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Fair Value $</w:t>
            </w:r>
          </w:p>
        </w:tc>
      </w:tr>
      <w:tr>
        <w:trPr>
          <w:trHeight w:val="215"/>
        </w:trPr>
        <w:tc>
          <w:tcPr>
            <w:tcW w:w="8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and Outstanding as of June 30,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2,421,658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w:t>
            </w:r>
          </w:p>
        </w:tc>
      </w:tr>
      <w:tr>
        <w:trPr>
          <w:trHeight w:val="215"/>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1,769,719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w:t>
            </w:r>
          </w:p>
        </w:tc>
      </w:tr>
      <w:tr>
        <w:trPr>
          <w:trHeight w:val="215"/>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and Outstanding as of June 30,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651,939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changes in the Company’s stock options activity for the fiscal year ended June 30, 2024,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5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r>
      <w:tr>
        <w:trPr>
          <w:trHeight w:val="215"/>
        </w:trPr>
        <w:tc>
          <w:tcPr>
            <w:tcW w:w="5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15"/>
        </w:trPr>
        <w:tc>
          <w:tcPr>
            <w:tcW w:w="598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Value (in</w:t>
            </w:r>
          </w:p>
        </w:tc>
      </w:tr>
      <w:tr>
        <w:trPr>
          <w:trHeight w:val="245"/>
        </w:trPr>
        <w:tc>
          <w:tcPr>
            <w:tcW w:w="5980" w:type="dxa"/>
            <w:vAlign w:val="bottom"/>
          </w:tcPr>
          <w:p>
            <w:pPr>
              <w:spacing w:after="0"/>
              <w:rPr>
                <w:sz w:val="21"/>
                <w:szCs w:val="21"/>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Term (Years)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 xml:space="preserve">thousands)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w:t>
            </w:r>
          </w:p>
        </w:tc>
      </w:tr>
      <w:tr>
        <w:trPr>
          <w:trHeight w:val="215"/>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June 30, 2023</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633,508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Cancelled or forfeited</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398,500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22.96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June 30, 2024</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235,008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26.76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Unvested as of June 30, 2024</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19,335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23.18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jc w:val="both"/>
        <w:ind w:right="20" w:firstLine="646"/>
        <w:spacing w:after="0" w:line="311" w:lineRule="auto"/>
        <w:rPr>
          <w:sz w:val="20"/>
          <w:szCs w:val="20"/>
          <w:color w:val="auto"/>
        </w:rPr>
      </w:pPr>
      <w:r>
        <w:rPr>
          <w:rFonts w:ascii="Times New Roman" w:cs="Times New Roman" w:eastAsia="Times New Roman" w:hAnsi="Times New Roman"/>
          <w:sz w:val="17"/>
          <w:szCs w:val="17"/>
          <w:color w:val="auto"/>
        </w:rPr>
        <w:t>The aggregate intrinsic value of share options is calculated as the difference between the exercise price of the share options and the fair value of the Company’s shares of common stock for those share options that had exercise prices lower than the fair value of the Company’s shares of common stock.</w:t>
      </w:r>
    </w:p>
    <w:p>
      <w:pPr>
        <w:spacing w:after="0" w:line="140" w:lineRule="exact"/>
        <w:rPr>
          <w:sz w:val="20"/>
          <w:szCs w:val="20"/>
          <w:color w:val="auto"/>
        </w:rPr>
      </w:pPr>
    </w:p>
    <w:p>
      <w:pPr>
        <w:ind w:right="80" w:firstLine="646"/>
        <w:spacing w:after="0" w:line="281" w:lineRule="auto"/>
        <w:rPr>
          <w:sz w:val="20"/>
          <w:szCs w:val="20"/>
          <w:color w:val="auto"/>
        </w:rPr>
      </w:pPr>
      <w:r>
        <w:rPr>
          <w:rFonts w:ascii="Times New Roman" w:cs="Times New Roman" w:eastAsia="Times New Roman" w:hAnsi="Times New Roman"/>
          <w:sz w:val="18"/>
          <w:szCs w:val="18"/>
          <w:color w:val="auto"/>
        </w:rPr>
        <w:t>As of June 30, 2024, there was $114,000 of unrecognized compensation cost related to unvested stock options, which is expected to be recognized over a weighted-average period of 0.72 years.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t>Stock Options Valuation</w:t>
      </w:r>
    </w:p>
    <w:p>
      <w:pPr>
        <w:spacing w:after="0" w:line="228" w:lineRule="exact"/>
        <w:rPr>
          <w:sz w:val="20"/>
          <w:szCs w:val="20"/>
          <w:color w:val="auto"/>
        </w:rPr>
      </w:pPr>
    </w:p>
    <w:p>
      <w:pPr>
        <w:ind w:right="440" w:firstLine="646"/>
        <w:spacing w:after="0" w:line="281" w:lineRule="auto"/>
        <w:rPr>
          <w:sz w:val="20"/>
          <w:szCs w:val="20"/>
          <w:color w:val="auto"/>
        </w:rPr>
      </w:pPr>
      <w:r>
        <w:rPr>
          <w:rFonts w:ascii="Times New Roman" w:cs="Times New Roman" w:eastAsia="Times New Roman" w:hAnsi="Times New Roman"/>
          <w:sz w:val="18"/>
          <w:szCs w:val="18"/>
          <w:color w:val="auto"/>
        </w:rPr>
        <w:t>The weighted-average assumptions used in the Black-Scholes option pricing model to determine the fair value of the stock options granted to employees and directors during the fiscal years ended June 30, 2024 and 2023, respectively, were as follow: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620" w:type="dxa"/>
            <w:vAlign w:val="bottom"/>
          </w:tcPr>
          <w:p>
            <w:pPr>
              <w:spacing w:after="0"/>
              <w:rPr>
                <w:sz w:val="18"/>
                <w:szCs w:val="18"/>
                <w:color w:val="auto"/>
              </w:rPr>
            </w:pPr>
          </w:p>
        </w:tc>
        <w:tc>
          <w:tcPr>
            <w:tcW w:w="9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45"/>
        </w:trPr>
        <w:tc>
          <w:tcPr>
            <w:tcW w:w="9600" w:type="dxa"/>
            <w:vAlign w:val="bottom"/>
            <w:gridSpan w:val="2"/>
          </w:tcPr>
          <w:p>
            <w:pPr>
              <w:ind w:left="90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1"/>
                <w:szCs w:val="21"/>
                <w:color w:val="auto"/>
              </w:rPr>
            </w:pPr>
          </w:p>
        </w:tc>
      </w:tr>
      <w:tr>
        <w:trPr>
          <w:trHeight w:val="215"/>
        </w:trPr>
        <w:tc>
          <w:tcPr>
            <w:tcW w:w="8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option life (years)</w:t>
            </w: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top w:val="single" w:sz="8" w:color="CCEEFF"/>
            </w:tcBorders>
            <w:shd w:val="clear" w:color="auto" w:fill="CCEEFF"/>
          </w:tcPr>
          <w:p>
            <w:pPr>
              <w:spacing w:after="0"/>
              <w:rPr>
                <w:sz w:val="18"/>
                <w:szCs w:val="18"/>
                <w:color w:val="auto"/>
              </w:rPr>
            </w:pPr>
          </w:p>
        </w:tc>
      </w:tr>
      <w:tr>
        <w:trPr>
          <w:trHeight w:val="215"/>
        </w:trPr>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r>
      <w:tr>
        <w:trPr>
          <w:trHeight w:val="215"/>
        </w:trPr>
        <w:tc>
          <w:tcPr>
            <w:tcW w:w="9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3.18%</w:t>
            </w:r>
          </w:p>
        </w:tc>
      </w:tr>
      <w:tr>
        <w:trPr>
          <w:trHeight w:val="215"/>
        </w:trPr>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r>
      <w:tr>
        <w:trPr>
          <w:trHeight w:val="215"/>
        </w:trPr>
        <w:tc>
          <w:tcPr>
            <w:tcW w:w="9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underlying shares of common stock</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Income Tax</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prima facie income tax benefit on pre-tax accounting loss from operations reconciles to the income tax benefit in the financial statements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660" w:type="dxa"/>
            <w:vAlign w:val="bottom"/>
          </w:tcPr>
          <w:p>
            <w:pPr>
              <w:spacing w:after="0"/>
              <w:rPr>
                <w:sz w:val="18"/>
                <w:szCs w:val="18"/>
                <w:color w:val="auto"/>
              </w:rPr>
            </w:pPr>
          </w:p>
        </w:tc>
        <w:tc>
          <w:tcPr>
            <w:tcW w:w="14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15"/>
        </w:trPr>
        <w:tc>
          <w:tcPr>
            <w:tcW w:w="8660" w:type="dxa"/>
            <w:vAlign w:val="bottom"/>
          </w:tcPr>
          <w:p>
            <w:pPr>
              <w:spacing w:after="0"/>
              <w:rPr>
                <w:sz w:val="18"/>
                <w:szCs w:val="18"/>
                <w:color w:val="auto"/>
              </w:rPr>
            </w:pPr>
          </w:p>
        </w:tc>
        <w:tc>
          <w:tcPr>
            <w:tcW w:w="140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45"/>
        </w:trPr>
        <w:tc>
          <w:tcPr>
            <w:tcW w:w="8660" w:type="dxa"/>
            <w:vAlign w:val="bottom"/>
          </w:tcPr>
          <w:p>
            <w:pPr>
              <w:spacing w:after="0"/>
              <w:rPr>
                <w:sz w:val="21"/>
                <w:szCs w:val="21"/>
                <w:color w:val="auto"/>
              </w:rPr>
            </w:pPr>
          </w:p>
        </w:tc>
        <w:tc>
          <w:tcPr>
            <w:tcW w:w="14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5"/>
        </w:trPr>
        <w:tc>
          <w:tcPr>
            <w:tcW w:w="8660" w:type="dxa"/>
            <w:vAlign w:val="bottom"/>
          </w:tcPr>
          <w:p>
            <w:pPr>
              <w:spacing w:after="0"/>
              <w:rPr>
                <w:sz w:val="18"/>
                <w:szCs w:val="18"/>
                <w:color w:val="auto"/>
              </w:rPr>
            </w:pPr>
          </w:p>
        </w:tc>
        <w:tc>
          <w:tcPr>
            <w:tcW w:w="2480" w:type="dxa"/>
            <w:vAlign w:val="bottom"/>
            <w:gridSpan w:val="2"/>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r>
      <w:tr>
        <w:trPr>
          <w:trHeight w:val="215"/>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loss before tax</w:t>
            </w: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(18,415)</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(48,811)</w:t>
            </w:r>
          </w:p>
        </w:tc>
      </w:tr>
      <w:tr>
        <w:trPr>
          <w:trHeight w:val="215"/>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at the applicable tax rate of 30%</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(5,525)</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(14,643</w:t>
            </w:r>
          </w:p>
        </w:tc>
      </w:tr>
      <w:tr>
        <w:trPr>
          <w:trHeight w:val="215"/>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6,545</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36,406</w:t>
            </w:r>
          </w:p>
        </w:tc>
      </w:tr>
      <w:tr>
        <w:trPr>
          <w:trHeight w:val="215"/>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Non-assessable income</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(3,431)</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w:t>
            </w:r>
          </w:p>
        </w:tc>
      </w:tr>
      <w:tr>
        <w:trPr>
          <w:trHeight w:val="215"/>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not recognized</w:t>
            </w:r>
          </w:p>
        </w:tc>
        <w:tc>
          <w:tcPr>
            <w:tcW w:w="1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927</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700</w:t>
            </w:r>
          </w:p>
        </w:tc>
      </w:tr>
      <w:tr>
        <w:trPr>
          <w:trHeight w:val="215"/>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4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Deferred Tax Asset</w:t>
            </w:r>
          </w:p>
        </w:tc>
        <w:tc>
          <w:tcPr>
            <w:tcW w:w="1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 not recognized in the financial statements:</w:t>
            </w:r>
          </w:p>
        </w:tc>
        <w:tc>
          <w:tcPr>
            <w:tcW w:w="1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Unused tax losses</w:t>
            </w:r>
          </w:p>
        </w:tc>
        <w:tc>
          <w:tcPr>
            <w:tcW w:w="140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6,887</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5,314</w:t>
            </w:r>
          </w:p>
        </w:tc>
      </w:tr>
      <w:tr>
        <w:trPr>
          <w:trHeight w:val="234"/>
        </w:trPr>
        <w:tc>
          <w:tcPr>
            <w:tcW w:w="8660" w:type="dxa"/>
            <w:vAlign w:val="bottom"/>
          </w:tcPr>
          <w:p>
            <w:pPr>
              <w:spacing w:after="0"/>
              <w:rPr>
                <w:sz w:val="20"/>
                <w:szCs w:val="20"/>
                <w:color w:val="auto"/>
              </w:rPr>
            </w:pPr>
            <w:r>
              <w:rPr>
                <w:rFonts w:ascii="Times New Roman" w:cs="Times New Roman" w:eastAsia="Times New Roman" w:hAnsi="Times New Roman"/>
                <w:sz w:val="18"/>
                <w:szCs w:val="18"/>
                <w:color w:val="auto"/>
              </w:rPr>
              <w:t>Net unrecognized tax benefit at 25%</w:t>
            </w:r>
          </w:p>
        </w:tc>
        <w:tc>
          <w:tcPr>
            <w:tcW w:w="1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7,813</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6,014</w:t>
            </w:r>
          </w:p>
        </w:tc>
      </w:tr>
    </w:tbl>
    <w:p>
      <w:pPr>
        <w:spacing w:after="0" w:line="179" w:lineRule="exact"/>
        <w:rPr>
          <w:sz w:val="20"/>
          <w:szCs w:val="20"/>
          <w:color w:val="auto"/>
        </w:rPr>
      </w:pPr>
    </w:p>
    <w:p>
      <w:pPr>
        <w:ind w:right="80" w:firstLine="646"/>
        <w:spacing w:after="0" w:line="256" w:lineRule="auto"/>
        <w:rPr>
          <w:sz w:val="20"/>
          <w:szCs w:val="20"/>
          <w:color w:val="auto"/>
        </w:rPr>
      </w:pPr>
      <w:r>
        <w:rPr>
          <w:rFonts w:ascii="Times New Roman" w:cs="Times New Roman" w:eastAsia="Times New Roman" w:hAnsi="Times New Roman"/>
          <w:sz w:val="18"/>
          <w:szCs w:val="18"/>
          <w:color w:val="auto"/>
        </w:rPr>
        <w:t>ASC 740 requires that the tax benefit of net operating losses, temporary differences and credit carry forwards be recorded as an asset to the extent that management assesses that realization is “more likely than not.” Realization of the future tax benefits is dependent on the Company’s ability to generate sufficient taxable income within the carry forward period. Because of the Company’s recent history of operating losses, management believes that recognition of the deferred tax assets arising from the above-mentioned future tax benefits is currently not likely to be realized and, accordingly, has provided a valuation allowance. As of June 30, 2024 and 2023, the Company established a valuation allowance against its deferred tax assets due to the uncertainty surrounding the realization of such assets.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Loss per share</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All stock and earnings per share amounts presented below reflect the impact of the redomiciliation as if it had taken effect on July 1, 2022.</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Basic and diluted net loss per share attributable to stockholders was calculated as follows:</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9"/>
        </w:trPr>
        <w:tc>
          <w:tcPr>
            <w:tcW w:w="8660" w:type="dxa"/>
            <w:vAlign w:val="bottom"/>
          </w:tcPr>
          <w:p>
            <w:pPr>
              <w:spacing w:after="0"/>
              <w:rPr>
                <w:sz w:val="24"/>
                <w:szCs w:val="24"/>
                <w:color w:val="auto"/>
              </w:rPr>
            </w:pPr>
          </w:p>
        </w:tc>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15"/>
        </w:trPr>
        <w:tc>
          <w:tcPr>
            <w:tcW w:w="866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8"/>
                <w:szCs w:val="18"/>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r>
      <w:tr>
        <w:trPr>
          <w:trHeight w:val="245"/>
        </w:trPr>
        <w:tc>
          <w:tcPr>
            <w:tcW w:w="866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1"/>
                <w:szCs w:val="21"/>
                <w:color w:val="auto"/>
              </w:rPr>
            </w:pPr>
          </w:p>
        </w:tc>
      </w:tr>
      <w:tr>
        <w:trPr>
          <w:trHeight w:val="215"/>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loss per share (dollars per share)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114.67</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332.17</w:t>
            </w:r>
          </w:p>
        </w:tc>
        <w:tc>
          <w:tcPr>
            <w:tcW w:w="100" w:type="dxa"/>
            <w:vAlign w:val="bottom"/>
            <w:shd w:val="clear" w:color="auto" w:fill="CCEEFF"/>
          </w:tcPr>
          <w:p>
            <w:pPr>
              <w:spacing w:after="0"/>
              <w:rPr>
                <w:sz w:val="18"/>
                <w:szCs w:val="18"/>
                <w:color w:val="auto"/>
              </w:rPr>
            </w:pPr>
          </w:p>
        </w:tc>
      </w:tr>
      <w:tr>
        <w:trPr>
          <w:trHeight w:val="197"/>
        </w:trPr>
        <w:tc>
          <w:tcPr>
            <w:tcW w:w="86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The loss and weighted average number of shares of common stock used in the calculation of basic loss per share is as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follows:</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w:t>
            </w:r>
          </w:p>
        </w:tc>
      </w:tr>
      <w:tr>
        <w:trPr>
          <w:trHeight w:val="215"/>
        </w:trPr>
        <w:tc>
          <w:tcPr>
            <w:tcW w:w="8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 for the year (in thousands)</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18,536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51,103</w:t>
            </w:r>
          </w:p>
        </w:tc>
      </w:tr>
      <w:tr>
        <w:trPr>
          <w:trHeight w:val="234"/>
        </w:trPr>
        <w:tc>
          <w:tcPr>
            <w:tcW w:w="8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 Weighted average number of shares of common stock (number)</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16,164,338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15,384,704</w:t>
            </w:r>
          </w:p>
        </w:tc>
      </w:tr>
      <w:tr>
        <w:trPr>
          <w:trHeight w:val="635"/>
        </w:trPr>
        <w:tc>
          <w:tcPr>
            <w:tcW w:w="866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F-20</w:t>
            </w: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1" w:right="339" w:bottom="1440" w:gutter="0" w:footer="0" w:header="0"/>
        </w:sectPr>
      </w:pPr>
    </w:p>
    <w:bookmarkStart w:id="111" w:name="page112"/>
    <w:bookmarkEnd w:id="111"/>
    <w:p>
      <w:pPr>
        <w:ind w:left="660"/>
        <w:spacing w:after="0"/>
        <w:rPr>
          <w:sz w:val="20"/>
          <w:szCs w:val="20"/>
          <w:color w:val="auto"/>
        </w:rPr>
      </w:pPr>
      <w:r>
        <w:rPr>
          <w:rFonts w:ascii="Times New Roman" w:cs="Times New Roman" w:eastAsia="Times New Roman" w:hAnsi="Times New Roman"/>
          <w:sz w:val="18"/>
          <w:szCs w:val="18"/>
          <w:color w:val="auto"/>
        </w:rPr>
        <w:t>The company notes that the diluted loss per share is the same as basic loss per share.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–Related Party Transactions</w:t>
      </w:r>
    </w:p>
    <w:p>
      <w:pPr>
        <w:spacing w:after="0" w:line="228" w:lineRule="exact"/>
        <w:rPr>
          <w:sz w:val="20"/>
          <w:szCs w:val="20"/>
          <w:color w:val="auto"/>
        </w:rPr>
      </w:pPr>
    </w:p>
    <w:p>
      <w:pPr>
        <w:ind w:right="480" w:firstLine="646"/>
        <w:spacing w:after="0" w:line="281" w:lineRule="auto"/>
        <w:rPr>
          <w:sz w:val="20"/>
          <w:szCs w:val="20"/>
          <w:color w:val="auto"/>
        </w:rPr>
      </w:pPr>
      <w:r>
        <w:rPr>
          <w:rFonts w:ascii="Times New Roman" w:cs="Times New Roman" w:eastAsia="Times New Roman" w:hAnsi="Times New Roman"/>
          <w:sz w:val="18"/>
          <w:szCs w:val="18"/>
          <w:color w:val="auto"/>
        </w:rPr>
        <w:t>Transactions between related parties are on commercial terms and conditions, no more favourable than those available to other parties unless otherwise stated.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amounts payable to any related parties as of June 30, 2024 and 2023.</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Subsequent Events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line of credit agreement with Arena Business Solutions Global SPC II, Ltd</w:t>
      </w:r>
    </w:p>
    <w:p>
      <w:pPr>
        <w:spacing w:after="0" w:line="228" w:lineRule="exact"/>
        <w:rPr>
          <w:sz w:val="20"/>
          <w:szCs w:val="20"/>
          <w:color w:val="auto"/>
        </w:rPr>
      </w:pPr>
    </w:p>
    <w:p>
      <w:pPr>
        <w:ind w:right="100" w:firstLine="646"/>
        <w:spacing w:after="0" w:line="257" w:lineRule="auto"/>
        <w:rPr>
          <w:sz w:val="20"/>
          <w:szCs w:val="20"/>
          <w:color w:val="auto"/>
        </w:rPr>
      </w:pPr>
      <w:r>
        <w:rPr>
          <w:rFonts w:ascii="Times New Roman" w:cs="Times New Roman" w:eastAsia="Times New Roman" w:hAnsi="Times New Roman"/>
          <w:sz w:val="18"/>
          <w:szCs w:val="18"/>
          <w:color w:val="auto"/>
        </w:rPr>
        <w:t>On September 6, 2024, the Company entered into an equity line of credit agreement (“ELOC Agreement”) with Arena Business Solutions Global SPC II, Ltd (“Arena Business”). Under the ELOC Agreement, the Company has the right to sell, and Arena Business has the obligation to buy, up to $50 million of the Company’s shares of common stock. The purchase price of the common stock is obtained by multiplying by 96% the daily volume weighted average price (“VWAP”) on the Nasdaq Global Market for the trading day specified in the sale notice (the same trading day or one trading day following such notice) delivered to Arena Business. The ELOC Agreement is effective for 36 months from its execution.</w:t>
      </w:r>
    </w:p>
    <w:p>
      <w:pPr>
        <w:spacing w:after="0" w:line="185" w:lineRule="exact"/>
        <w:rPr>
          <w:sz w:val="20"/>
          <w:szCs w:val="20"/>
          <w:color w:val="auto"/>
        </w:rPr>
      </w:pPr>
    </w:p>
    <w:p>
      <w:pPr>
        <w:ind w:right="200" w:firstLine="646"/>
        <w:spacing w:after="0" w:line="257" w:lineRule="auto"/>
        <w:rPr>
          <w:sz w:val="20"/>
          <w:szCs w:val="20"/>
          <w:color w:val="auto"/>
        </w:rPr>
      </w:pPr>
      <w:r>
        <w:rPr>
          <w:rFonts w:ascii="Times New Roman" w:cs="Times New Roman" w:eastAsia="Times New Roman" w:hAnsi="Times New Roman"/>
          <w:sz w:val="18"/>
          <w:szCs w:val="18"/>
          <w:color w:val="auto"/>
        </w:rPr>
        <w:t>As consideration for Arena Business’s execution and delivery of the ELOC Agreement, the Company will (i) issue to Arena Business, (i) as a commitment fee, that number of shares of common stock equal to 250,000 divided by the simple average of the daily VWAP of the common stock during the five trading days immediately preceding the effectiveness of a “shelf” registration statement on Form S-3 on which the estimated number of such common stock are registered, and (ii) a warrant (“ELOC Warrant”) exercisable for 585,000 shares of common stock, with a five year expiration and an exercise price equal to 115% of the closing price of the common stock on the warrant issuance date.</w:t>
      </w:r>
    </w:p>
    <w:p>
      <w:pPr>
        <w:spacing w:after="0" w:line="185" w:lineRule="exact"/>
        <w:rPr>
          <w:sz w:val="20"/>
          <w:szCs w:val="20"/>
          <w:color w:val="auto"/>
        </w:rPr>
      </w:pPr>
    </w:p>
    <w:p>
      <w:pPr>
        <w:ind w:firstLine="646"/>
        <w:spacing w:after="0" w:line="252" w:lineRule="auto"/>
        <w:rPr>
          <w:sz w:val="20"/>
          <w:szCs w:val="20"/>
          <w:color w:val="auto"/>
        </w:rPr>
      </w:pPr>
      <w:r>
        <w:rPr>
          <w:rFonts w:ascii="Times New Roman" w:cs="Times New Roman" w:eastAsia="Times New Roman" w:hAnsi="Times New Roman"/>
          <w:sz w:val="18"/>
          <w:szCs w:val="18"/>
          <w:color w:val="auto"/>
        </w:rPr>
        <w:t>However, the Company may not sell common stock to Arena Business under the ELOC Agreement if (i) a shelf Registration Statement on Form S-3 that registers the common stock issuable under the ELOC Agreement has not been declared effective by the Securities and Exchange Commission (“SEC”); (ii) the number of common stock issuable to Arena Business pursuant to a sale notice causes the aggregate number of common stock beneficially owned by Arena Business and its affiliates as a result of previous issuances and sales of common stock to Arena Business under the ELOC Agreement would exceed 9.99% of the then outstanding shares of common stock; (iii) after giving effect to such sale (a) the aggregate number of common stock issued under the ELOC Agreement, (b) the aggregate number of common stock issued upon exercise of the ELOC Warrant, (c) the aggregate number of common stock issued upon conversion of a secured convertible debenture issued to Arena Investors, LP (as discussed below) and upon exercise of the warrant issued in connection with such convertible debenture, would exceed 19.99% of the outstanding shares of common stock as of the date of the ELOC Agreement, unless the Company obtains the requisite stockholder approval for issuances in excess of such limit; or (iv) such sale of common stock would exceed, during any 12-month period, one-third of the Company’s public float under the SEC’s “baby shelf” rule for SEC-registered transactions by an issuer with a public float under $75 million when using a “shelf” registration statement on Form S-3.</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 for issuance of convertible debentures to Arena Investors, LP</w:t>
      </w:r>
    </w:p>
    <w:p>
      <w:pPr>
        <w:spacing w:after="0" w:line="228" w:lineRule="exact"/>
        <w:rPr>
          <w:sz w:val="20"/>
          <w:szCs w:val="20"/>
          <w:color w:val="auto"/>
        </w:rPr>
      </w:pPr>
    </w:p>
    <w:p>
      <w:pPr>
        <w:ind w:right="120" w:firstLine="646"/>
        <w:spacing w:after="0" w:line="256" w:lineRule="auto"/>
        <w:rPr>
          <w:sz w:val="20"/>
          <w:szCs w:val="20"/>
          <w:color w:val="auto"/>
        </w:rPr>
      </w:pPr>
      <w:r>
        <w:rPr>
          <w:rFonts w:ascii="Times New Roman" w:cs="Times New Roman" w:eastAsia="Times New Roman" w:hAnsi="Times New Roman"/>
          <w:sz w:val="18"/>
          <w:szCs w:val="18"/>
          <w:color w:val="auto"/>
        </w:rPr>
        <w:t>On September 6, 2024, the Company entered into a Securities Purchase Agreement (the “September 2024 Purchase Agreement”) with Arena Investors, LP (“Arena Investors”). Under the September 2024 Purchase Agreement, the Company will issue secured convertible debentures (the “September 2024 Debentures”) in an aggregate principal amount of up to $10 million at an aggregate purchase price of up to $9 million, divided into three separate tranches that are each subject to closing conditions, with a 10% original issue discount. The conversion price of each September 2024 Debenture would be equal to 115% of the closing price of the Company’s common stock on the trading day preceding the date of the issuance of the September 2024 Note, subject to adjustments related to the trading price of the Company’s common stock on the Nasdaq Global Market.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12" w:name="page113"/>
    <w:bookmarkEnd w:id="112"/>
    <w:p>
      <w:pPr>
        <w:ind w:right="180" w:firstLine="646"/>
        <w:spacing w:after="0" w:line="265" w:lineRule="auto"/>
        <w:rPr>
          <w:sz w:val="20"/>
          <w:szCs w:val="20"/>
          <w:color w:val="auto"/>
        </w:rPr>
      </w:pPr>
      <w:r>
        <w:rPr>
          <w:rFonts w:ascii="Times New Roman" w:cs="Times New Roman" w:eastAsia="Times New Roman" w:hAnsi="Times New Roman"/>
          <w:sz w:val="18"/>
          <w:szCs w:val="18"/>
          <w:color w:val="auto"/>
        </w:rPr>
        <w:t>The Company and its subsidiaries, Incannex Healthcare Pty Ltd, Incannex Pty Ltd and Psychennex Pty Ltd, will grant senior security interests in all their tangible and intangible assets, except for certain R&amp;D Australian tax incentives, which are subject to a subordinated security interest. The subsidiaries will also guarantee the September 2024 Debentures.</w:t>
      </w:r>
    </w:p>
    <w:p>
      <w:pPr>
        <w:spacing w:after="0" w:line="176" w:lineRule="exact"/>
        <w:rPr>
          <w:sz w:val="20"/>
          <w:szCs w:val="20"/>
          <w:color w:val="auto"/>
        </w:rPr>
      </w:pPr>
    </w:p>
    <w:p>
      <w:pPr>
        <w:ind w:right="40" w:firstLine="646"/>
        <w:spacing w:after="0" w:line="256" w:lineRule="auto"/>
        <w:rPr>
          <w:sz w:val="20"/>
          <w:szCs w:val="20"/>
          <w:color w:val="auto"/>
        </w:rPr>
      </w:pPr>
      <w:r>
        <w:rPr>
          <w:rFonts w:ascii="Times New Roman" w:cs="Times New Roman" w:eastAsia="Times New Roman" w:hAnsi="Times New Roman"/>
          <w:sz w:val="18"/>
          <w:szCs w:val="18"/>
          <w:color w:val="auto"/>
        </w:rPr>
        <w:t>As consideration for Arena Investors’ execution and delivery of the September 2024 Purchase Agreement, the Company will issue a warrant (“September 2024 Debenture Warrant”), with a five year expiration, each exercisable for number of common stock equal to 25% of the total principal amount of the related September 2024 Debenture purchased by Arena Investors on the applicable closing date divided by 115% of the closing price of the common stock on the trading day immediately preceding such closing date. The Company is not obligated to issue a September 2024 Debenture Warrant if there is no drawdown under the September 2024 Debenture. The exercise price of the September 2024 Debenture Warrant will be 115% of the closing price of the common stock on its issuance date.</w:t>
      </w:r>
    </w:p>
    <w:p>
      <w:pPr>
        <w:spacing w:after="0" w:line="184" w:lineRule="exact"/>
        <w:rPr>
          <w:sz w:val="20"/>
          <w:szCs w:val="20"/>
          <w:color w:val="auto"/>
        </w:rPr>
      </w:pPr>
    </w:p>
    <w:p>
      <w:pPr>
        <w:ind w:firstLine="646"/>
        <w:spacing w:after="0" w:line="260" w:lineRule="auto"/>
        <w:rPr>
          <w:sz w:val="20"/>
          <w:szCs w:val="20"/>
          <w:color w:val="auto"/>
        </w:rPr>
      </w:pPr>
      <w:r>
        <w:rPr>
          <w:rFonts w:ascii="Times New Roman" w:cs="Times New Roman" w:eastAsia="Times New Roman" w:hAnsi="Times New Roman"/>
          <w:sz w:val="18"/>
          <w:szCs w:val="18"/>
          <w:color w:val="auto"/>
        </w:rPr>
        <w:t>The Company must register the shares of common stock issuable upon conversion of the September 2024 Debenture and exercise of the September 2024 Debenture Warrant. However, the issuance of the shares of common stock underlying the September 2024 Debenture and the September 2024 Debenture Warrant are subject to stockholder approval to the extent such issuance would exceed 19.99% of the Company’s outstanding shares of common stock</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8" w:lineRule="exact"/>
        <w:rPr>
          <w:sz w:val="20"/>
          <w:szCs w:val="20"/>
          <w:color w:val="auto"/>
        </w:rPr>
      </w:pPr>
    </w:p>
    <w:p>
      <w:pPr>
        <w:ind w:firstLine="646"/>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under the Exchange Act that are designed to ensure that information required to be disclosed in ours reports under the Exchange Act is recorded, processed, summarized and reported within the time periods specified in the SEC’s rules and forms and that such information is accumulated and communicated to our management, including our Chief Executive Officer and Chief Financial Officer, or persons performing similar functions, as appropriate to allow timely decisions regarding required disclosures. Any controls and procedures, no matter how well designed and operated, can provide only reasonable assurance of achieving the desired control objectives. Our management, with the participation of our Chief Executive Officer and Chief Financial Officer, has evaluated, as of the end of the period covered by this Annual Report, the effectiveness of the design and operation of our disclosure controls and procedures. Based upon that evaluation, our Chief Executive Officer and Chief Financial Officer concluded that, as of June 30, 2024, our disclosure controls and procedures were not effective at the reasonable assurance level.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228" w:lineRule="exact"/>
        <w:rPr>
          <w:sz w:val="20"/>
          <w:szCs w:val="20"/>
          <w:color w:val="auto"/>
        </w:rPr>
      </w:pPr>
    </w:p>
    <w:p>
      <w:pPr>
        <w:ind w:right="40" w:firstLine="646"/>
        <w:spacing w:after="0" w:line="260" w:lineRule="auto"/>
        <w:rPr>
          <w:sz w:val="20"/>
          <w:szCs w:val="20"/>
          <w:color w:val="auto"/>
        </w:rPr>
      </w:pPr>
      <w:r>
        <w:rPr>
          <w:rFonts w:ascii="Times New Roman" w:cs="Times New Roman" w:eastAsia="Times New Roman" w:hAnsi="Times New Roman"/>
          <w:sz w:val="18"/>
          <w:szCs w:val="18"/>
          <w:color w:val="auto"/>
        </w:rPr>
        <w:t>As required by SEC rules and regulations implementing Section 404 of the Sarbanes-Oxley Act, our management is responsible for establishing and maintaining adequate internal control over financial reporting. Our internal control over financial reporting is designed to provide reasonable assurance regarding the reliability of financial reporting and the preparation of our consolidated financial statements for external reporting purposes in accordance with US GAAP. Our internal control over financial reporting includes those policies and procedures that:</w:t>
      </w:r>
    </w:p>
    <w:p>
      <w:pPr>
        <w:spacing w:after="0" w:line="181" w:lineRule="exact"/>
        <w:rPr>
          <w:sz w:val="20"/>
          <w:szCs w:val="20"/>
          <w:color w:val="auto"/>
        </w:rPr>
      </w:pPr>
    </w:p>
    <w:p>
      <w:pPr>
        <w:ind w:left="980" w:right="220" w:hanging="326"/>
        <w:spacing w:after="0" w:line="281"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the assets of our company,</w:t>
      </w:r>
    </w:p>
    <w:p>
      <w:pPr>
        <w:spacing w:after="0" w:line="161" w:lineRule="exact"/>
        <w:rPr>
          <w:rFonts w:ascii="Times New Roman" w:cs="Times New Roman" w:eastAsia="Times New Roman" w:hAnsi="Times New Roman"/>
          <w:sz w:val="18"/>
          <w:szCs w:val="18"/>
          <w:color w:val="auto"/>
        </w:rPr>
      </w:pPr>
    </w:p>
    <w:p>
      <w:pPr>
        <w:ind w:left="980" w:right="60" w:hanging="326"/>
        <w:spacing w:after="0" w:line="265"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consolidated financial statements in accordance with US GAAP, and that our receipts and expenditures are being made only in accordance with authorizations of our management and directors, and</w:t>
      </w:r>
    </w:p>
    <w:p>
      <w:pPr>
        <w:spacing w:after="0" w:line="176" w:lineRule="exact"/>
        <w:rPr>
          <w:rFonts w:ascii="Times New Roman" w:cs="Times New Roman" w:eastAsia="Times New Roman" w:hAnsi="Times New Roman"/>
          <w:sz w:val="18"/>
          <w:szCs w:val="18"/>
          <w:color w:val="auto"/>
        </w:rPr>
      </w:pPr>
    </w:p>
    <w:p>
      <w:pPr>
        <w:ind w:left="980" w:right="120" w:hanging="326"/>
        <w:spacing w:after="0" w:line="281" w:lineRule="auto"/>
        <w:tabs>
          <w:tab w:leader="none" w:pos="9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consolidated financial statements.</w:t>
      </w:r>
    </w:p>
    <w:p>
      <w:pPr>
        <w:spacing w:after="0" w:line="162" w:lineRule="exact"/>
        <w:rPr>
          <w:sz w:val="20"/>
          <w:szCs w:val="20"/>
          <w:color w:val="auto"/>
        </w:rPr>
      </w:pPr>
    </w:p>
    <w:p>
      <w:pPr>
        <w:ind w:right="60" w:firstLine="646"/>
        <w:spacing w:after="0" w:line="252" w:lineRule="auto"/>
        <w:rPr>
          <w:sz w:val="20"/>
          <w:szCs w:val="20"/>
          <w:color w:val="auto"/>
        </w:rPr>
      </w:pPr>
      <w:r>
        <w:rPr>
          <w:rFonts w:ascii="Times New Roman" w:cs="Times New Roman" w:eastAsia="Times New Roman" w:hAnsi="Times New Roman"/>
          <w:sz w:val="18"/>
          <w:szCs w:val="18"/>
          <w:color w:val="auto"/>
        </w:rPr>
        <w:t>A control system, no matter how well designed and operated, can provide only reasonable and not absolute assurance of achieving the desired control objectives. In reaching a reasonable level of assurance, management necessarily was required to apply its judgment in evaluating the benefits of possible controls and procedures relative to their costs. In addition,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its inherent limitations, internal control over financial reporting may not prevent or detect errors or misstatements in our consolidated financial statements. Also, projections of any evaluation of effectiveness to future periods are subject to the risk that controls may become inadequate because of changes in conditions, or that the degree or compliance with the policies or procedures may deteriorate. Management assessed the effectiveness of our internal control over financial reporting on June 30, 2024. In making these assessments, management used the criteria set forth by the Committee of Sponsoring Organizations of the Treadway Commission (“COSO”) in Internal Control — Integrated Framework (2013). Based on our assessment, management has concluded that our internal control over financial reporting was not effective as of June 30, 2024.</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114" w:name="page115"/>
    <w:bookmarkEnd w:id="114"/>
    <w:p>
      <w:pPr>
        <w:ind w:right="280" w:firstLine="646"/>
        <w:spacing w:after="0" w:line="257" w:lineRule="auto"/>
        <w:rPr>
          <w:sz w:val="20"/>
          <w:szCs w:val="20"/>
          <w:color w:val="auto"/>
        </w:rPr>
      </w:pPr>
      <w:r>
        <w:rPr>
          <w:rFonts w:ascii="Times New Roman" w:cs="Times New Roman" w:eastAsia="Times New Roman" w:hAnsi="Times New Roman"/>
          <w:sz w:val="18"/>
          <w:szCs w:val="18"/>
          <w:color w:val="auto"/>
        </w:rPr>
        <w:t>A material weakness is defined as a deficiency, or a combination of deficiencies, in internal control over financial reporting, such that there is a reasonable possibility that a material misstatement of our annual or interim financial statements will not be prevented or detected on a timely basis. Management has concluded that we did not maintain effective disclosure controls and procedures due to the material weakness in internal control over financial reporting which existed as of June 30, 2024, relating to the documentation of accounting policies and procedures, particularly relating to the correct application of complex accounting measures.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Remediation Efforts</w:t>
      </w:r>
    </w:p>
    <w:p>
      <w:pPr>
        <w:spacing w:after="0" w:line="226" w:lineRule="exact"/>
        <w:rPr>
          <w:sz w:val="20"/>
          <w:szCs w:val="20"/>
          <w:color w:val="auto"/>
        </w:rPr>
      </w:pPr>
    </w:p>
    <w:p>
      <w:pPr>
        <w:ind w:right="60" w:firstLine="646"/>
        <w:spacing w:after="0" w:line="256" w:lineRule="auto"/>
        <w:rPr>
          <w:sz w:val="20"/>
          <w:szCs w:val="20"/>
          <w:color w:val="auto"/>
        </w:rPr>
      </w:pPr>
      <w:r>
        <w:rPr>
          <w:rFonts w:ascii="Times New Roman" w:cs="Times New Roman" w:eastAsia="Times New Roman" w:hAnsi="Times New Roman"/>
          <w:sz w:val="18"/>
          <w:szCs w:val="18"/>
          <w:color w:val="auto"/>
        </w:rPr>
        <w:t>The measures that we are undertaking to remediate the material weakness in internal control over financial reporting have and will include: (a) hiring qualified internal control personnel or consultants to manage the implementation of internal control policies, procedures and improvement of the internal audit function, as applicable; (b) developing and implementing written policies and procedures for accounting and financial reporting that meet the standards applied to public companies listed in the United States; and (c) conducting internal control training to management, key operations personnel and the accounting department, so that management and relevant personnel understand the requirements and elements of internal control over financial reporting mandated by the US securities laws.</w:t>
      </w:r>
    </w:p>
    <w:p>
      <w:pPr>
        <w:spacing w:after="0" w:line="184" w:lineRule="exact"/>
        <w:rPr>
          <w:sz w:val="20"/>
          <w:szCs w:val="20"/>
          <w:color w:val="auto"/>
        </w:rPr>
      </w:pPr>
    </w:p>
    <w:p>
      <w:pPr>
        <w:ind w:right="400" w:firstLine="646"/>
        <w:spacing w:after="0" w:line="265" w:lineRule="auto"/>
        <w:rPr>
          <w:sz w:val="20"/>
          <w:szCs w:val="20"/>
          <w:color w:val="auto"/>
        </w:rPr>
      </w:pPr>
      <w:r>
        <w:rPr>
          <w:rFonts w:ascii="Times New Roman" w:cs="Times New Roman" w:eastAsia="Times New Roman" w:hAnsi="Times New Roman"/>
          <w:sz w:val="18"/>
          <w:szCs w:val="18"/>
          <w:color w:val="auto"/>
        </w:rPr>
        <w:t>We believe we have made progress in accordance with our remediation plan even though the material weaknesses will not be considered remediated until we have completed implementing the necessary additional applicable controls and operate with them for a sufficient period of time to allow management and our auditors to concluded that these controls are operating effectively.</w:t>
      </w:r>
    </w:p>
    <w:p>
      <w:pPr>
        <w:spacing w:after="0" w:line="176" w:lineRule="exact"/>
        <w:rPr>
          <w:sz w:val="20"/>
          <w:szCs w:val="20"/>
          <w:color w:val="auto"/>
        </w:rPr>
      </w:pPr>
    </w:p>
    <w:p>
      <w:pPr>
        <w:ind w:right="180" w:firstLine="646"/>
        <w:spacing w:after="0" w:line="281" w:lineRule="auto"/>
        <w:rPr>
          <w:sz w:val="20"/>
          <w:szCs w:val="20"/>
          <w:color w:val="auto"/>
        </w:rPr>
      </w:pPr>
      <w:r>
        <w:rPr>
          <w:rFonts w:ascii="Times New Roman" w:cs="Times New Roman" w:eastAsia="Times New Roman" w:hAnsi="Times New Roman"/>
          <w:sz w:val="18"/>
          <w:szCs w:val="18"/>
          <w:color w:val="auto"/>
        </w:rPr>
        <w:t>We cannot determine when our remediation plan will be fully completed and we cannot provide any assurance that these remediation efforts will be successful or that our internal control over financial reporting will be effective as a result of these efforts.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Attestation Report of the Registered Public Accounting Firm</w:t>
      </w:r>
    </w:p>
    <w:p>
      <w:pPr>
        <w:spacing w:after="0" w:line="228" w:lineRule="exact"/>
        <w:rPr>
          <w:sz w:val="20"/>
          <w:szCs w:val="20"/>
          <w:color w:val="auto"/>
        </w:rPr>
      </w:pPr>
    </w:p>
    <w:p>
      <w:pPr>
        <w:ind w:right="260" w:firstLine="646"/>
        <w:spacing w:after="0" w:line="281"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independent registered public accounting firm due to our status as an emerging growth company under the JOBS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8" w:lineRule="exact"/>
        <w:rPr>
          <w:sz w:val="20"/>
          <w:szCs w:val="20"/>
          <w:color w:val="auto"/>
        </w:rPr>
      </w:pPr>
    </w:p>
    <w:p>
      <w:pPr>
        <w:ind w:firstLine="646"/>
        <w:spacing w:after="0" w:line="265" w:lineRule="auto"/>
        <w:rPr>
          <w:sz w:val="20"/>
          <w:szCs w:val="20"/>
          <w:color w:val="auto"/>
        </w:rPr>
      </w:pPr>
      <w:r>
        <w:rPr>
          <w:rFonts w:ascii="Times New Roman" w:cs="Times New Roman" w:eastAsia="Times New Roman" w:hAnsi="Times New Roman"/>
          <w:sz w:val="18"/>
          <w:szCs w:val="18"/>
          <w:color w:val="auto"/>
        </w:rPr>
        <w:t>Other than the remediation of the material weakness discussed above, there were no changes in our internal controls over financial reporting (as such term is defined in Rules 13a-15(d) and 15d-15(d) under the Exchange Act) that occurred during three months ended June 30, 2024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8" w:lineRule="exact"/>
        <w:rPr>
          <w:sz w:val="20"/>
          <w:szCs w:val="20"/>
          <w:color w:val="auto"/>
        </w:rPr>
      </w:pPr>
    </w:p>
    <w:p>
      <w:pPr>
        <w:ind w:right="440" w:firstLine="646"/>
        <w:spacing w:after="0" w:line="281" w:lineRule="auto"/>
        <w:rPr>
          <w:sz w:val="20"/>
          <w:szCs w:val="20"/>
          <w:color w:val="auto"/>
        </w:rPr>
      </w:pPr>
      <w:r>
        <w:rPr>
          <w:rFonts w:ascii="Times New Roman" w:cs="Times New Roman" w:eastAsia="Times New Roman" w:hAnsi="Times New Roman"/>
          <w:sz w:val="18"/>
          <w:szCs w:val="18"/>
          <w:color w:val="auto"/>
        </w:rPr>
        <w:t>As of June 30, 2024, none of our directors or officers adopted or terminated “Rule 10b5-1 trading arrangement” or “non-Rule 10b5-1 trading arrangement,” as each term is defined in Item 408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115" w:name="page116"/>
    <w:bookmarkEnd w:id="11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8" w:lineRule="exact"/>
        <w:rPr>
          <w:sz w:val="20"/>
          <w:szCs w:val="20"/>
          <w:color w:val="auto"/>
        </w:rPr>
      </w:pPr>
    </w:p>
    <w:p>
      <w:pPr>
        <w:ind w:firstLine="646"/>
        <w:spacing w:after="0" w:line="265" w:lineRule="auto"/>
        <w:rPr>
          <w:sz w:val="20"/>
          <w:szCs w:val="20"/>
          <w:color w:val="auto"/>
        </w:rPr>
      </w:pPr>
      <w:r>
        <w:rPr>
          <w:rFonts w:ascii="Times New Roman" w:cs="Times New Roman" w:eastAsia="Times New Roman" w:hAnsi="Times New Roman"/>
          <w:sz w:val="18"/>
          <w:szCs w:val="18"/>
          <w:color w:val="auto"/>
        </w:rPr>
        <w:t>The following table sets forth the name, age and position of each of our executive officers and directors as of June 30, 2024. There are no arrangements or understandings between any director or officer and any other person pursuant to which such director or officer was selected as a director or officer.</w:t>
      </w:r>
    </w:p>
    <w:p>
      <w:pPr>
        <w:sectPr>
          <w:pgSz w:w="11900" w:h="16838" w:orient="portrait"/>
          <w:cols w:equalWidth="0" w:num="1">
            <w:col w:w="11200"/>
          </w:cols>
          <w:pgMar w:left="320" w:top="871" w:right="379" w:bottom="1440" w:gutter="0" w:footer="0" w:header="0"/>
        </w:sectPr>
      </w:pP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14693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146935" cy="1714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Joel Latham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Joseph Swan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Lekhram Changoer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207" w:lineRule="auto"/>
        <w:rPr>
          <w:sz w:val="20"/>
          <w:szCs w:val="20"/>
          <w:color w:val="auto"/>
        </w:rPr>
      </w:pPr>
      <w:r>
        <w:rPr>
          <w:rFonts w:ascii="Times New Roman" w:cs="Times New Roman" w:eastAsia="Times New Roman" w:hAnsi="Times New Roman"/>
          <w:sz w:val="18"/>
          <w:szCs w:val="18"/>
          <w:color w:val="auto"/>
        </w:rPr>
        <w:t>Troy Valentine</w:t>
      </w:r>
      <w:r>
        <w:rPr>
          <w:rFonts w:ascii="Times New Roman" w:cs="Times New Roman" w:eastAsia="Times New Roman" w:hAnsi="Times New Roman"/>
          <w:sz w:val="29"/>
          <w:szCs w:val="29"/>
          <w:color w:val="auto"/>
          <w:vertAlign w:val="superscript"/>
        </w:rPr>
        <w:t>(1)(2)</w:t>
      </w:r>
    </w:p>
    <w:p>
      <w:pPr>
        <w:spacing w:after="0" w:line="184" w:lineRule="auto"/>
        <w:rPr>
          <w:sz w:val="20"/>
          <w:szCs w:val="20"/>
          <w:color w:val="auto"/>
        </w:rPr>
      </w:pPr>
      <w:r>
        <w:rPr>
          <w:rFonts w:ascii="Times New Roman" w:cs="Times New Roman" w:eastAsia="Times New Roman" w:hAnsi="Times New Roman"/>
          <w:sz w:val="18"/>
          <w:szCs w:val="18"/>
          <w:color w:val="auto"/>
        </w:rPr>
        <w:t>Peter Widdows</w:t>
      </w:r>
      <w:r>
        <w:rPr>
          <w:rFonts w:ascii="Times New Roman" w:cs="Times New Roman" w:eastAsia="Times New Roman" w:hAnsi="Times New Roman"/>
          <w:sz w:val="29"/>
          <w:szCs w:val="29"/>
          <w:color w:val="auto"/>
          <w:vertAlign w:val="superscript"/>
        </w:rPr>
        <w:t>(1)(2)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George Anastassov</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Clark</w:t>
      </w:r>
      <w:r>
        <w:rPr>
          <w:rFonts w:ascii="Times New Roman" w:cs="Times New Roman" w:eastAsia="Times New Roman" w:hAnsi="Times New Roman"/>
          <w:sz w:val="29"/>
          <w:szCs w:val="29"/>
          <w:color w:val="auto"/>
          <w:vertAlign w:val="superscript"/>
        </w:rPr>
        <w:t>(1)(2)</w:t>
      </w:r>
    </w:p>
    <w:p>
      <w:pPr>
        <w:spacing w:after="0" w:line="119" w:lineRule="exact"/>
        <w:rPr>
          <w:sz w:val="20"/>
          <w:szCs w:val="20"/>
          <w:color w:val="auto"/>
        </w:rPr>
      </w:pPr>
    </w:p>
    <w:p>
      <w:pPr>
        <w:ind w:left="460" w:hanging="452"/>
        <w:spacing w:after="0"/>
        <w:tabs>
          <w:tab w:leader="none" w:pos="46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 of the compensation committee.</w:t>
      </w:r>
    </w:p>
    <w:p>
      <w:pPr>
        <w:spacing w:after="0" w:line="38" w:lineRule="exact"/>
        <w:rPr>
          <w:rFonts w:ascii="Times New Roman" w:cs="Times New Roman" w:eastAsia="Times New Roman" w:hAnsi="Times New Roman"/>
          <w:sz w:val="17"/>
          <w:szCs w:val="17"/>
          <w:color w:val="auto"/>
        </w:rPr>
      </w:pPr>
    </w:p>
    <w:p>
      <w:pPr>
        <w:ind w:left="460" w:hanging="452"/>
        <w:spacing w:after="0"/>
        <w:tabs>
          <w:tab w:leader="none" w:pos="4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Age</w:t>
      </w:r>
      <w:r>
        <w:rPr>
          <w:sz w:val="20"/>
          <w:szCs w:val="20"/>
          <w:color w:val="auto"/>
        </w:rPr>
        <w:tab/>
      </w:r>
      <w:r>
        <w:rPr>
          <w:rFonts w:ascii="Times New Roman" w:cs="Times New Roman" w:eastAsia="Times New Roman" w:hAnsi="Times New Roman"/>
          <w:sz w:val="18"/>
          <w:szCs w:val="18"/>
          <w:b w:val="1"/>
          <w:bCs w:val="1"/>
          <w:color w:val="auto"/>
        </w:rPr>
        <w:t>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173355</wp:posOffset>
            </wp:positionV>
            <wp:extent cx="7132955" cy="13652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-260350</wp:posOffset>
            </wp:positionH>
            <wp:positionV relativeFrom="paragraph">
              <wp:posOffset>19685</wp:posOffset>
            </wp:positionV>
            <wp:extent cx="490918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909185" cy="1714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820" w:hanging="761"/>
        <w:spacing w:after="0"/>
        <w:tabs>
          <w:tab w:leader="none" w:pos="8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Executive Officer, President and Director</w:t>
      </w:r>
    </w:p>
    <w:p>
      <w:pPr>
        <w:spacing w:after="0" w:line="26" w:lineRule="exact"/>
        <w:rPr>
          <w:rFonts w:ascii="Times New Roman" w:cs="Times New Roman" w:eastAsia="Times New Roman" w:hAnsi="Times New Roman"/>
          <w:sz w:val="18"/>
          <w:szCs w:val="18"/>
          <w:color w:val="auto"/>
        </w:rPr>
      </w:pPr>
    </w:p>
    <w:p>
      <w:pPr>
        <w:ind w:left="820" w:hanging="761"/>
        <w:spacing w:after="0"/>
        <w:tabs>
          <w:tab w:leader="none" w:pos="82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Chief Financial Officer, Treasurer and Secretary</w:t>
      </w:r>
    </w:p>
    <w:p>
      <w:pPr>
        <w:spacing w:after="0" w:line="20" w:lineRule="exact"/>
        <w:rPr>
          <w:rFonts w:ascii="Times New Roman" w:cs="Times New Roman" w:eastAsia="Times New Roman" w:hAnsi="Times New Roman"/>
          <w:sz w:val="17"/>
          <w:szCs w:val="17"/>
          <w:color w:val="auto"/>
        </w:rPr>
      </w:pPr>
    </w:p>
    <w:p>
      <w:pPr>
        <w:ind w:left="820" w:hanging="761"/>
        <w:spacing w:after="0"/>
        <w:tabs>
          <w:tab w:leader="none" w:pos="8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Chief Technology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-267970</wp:posOffset>
            </wp:positionV>
            <wp:extent cx="7132955" cy="13652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5080</wp:posOffset>
            </wp:positionV>
            <wp:extent cx="7132955" cy="1365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221" w:lineRule="exact"/>
        <w:rPr>
          <w:sz w:val="20"/>
          <w:szCs w:val="20"/>
          <w:color w:val="auto"/>
        </w:rPr>
      </w:pPr>
    </w:p>
    <w:p>
      <w:pPr>
        <w:ind w:left="60"/>
        <w:spacing w:after="0"/>
        <w:tabs>
          <w:tab w:leader="none" w:pos="800" w:val="left"/>
        </w:tabs>
        <w:rPr>
          <w:sz w:val="20"/>
          <w:szCs w:val="20"/>
          <w:color w:val="auto"/>
        </w:rPr>
      </w:pPr>
      <w:r>
        <w:rPr>
          <w:rFonts w:ascii="Times New Roman" w:cs="Times New Roman" w:eastAsia="Times New Roman" w:hAnsi="Times New Roman"/>
          <w:sz w:val="36"/>
          <w:szCs w:val="36"/>
          <w:color w:val="auto"/>
          <w:vertAlign w:val="superscript"/>
        </w:rPr>
        <w:t>50</w:t>
      </w:r>
      <w:r>
        <w:rPr>
          <w:sz w:val="20"/>
          <w:szCs w:val="20"/>
          <w:color w:val="auto"/>
        </w:rPr>
        <w:tab/>
      </w:r>
      <w:r>
        <w:rPr>
          <w:rFonts w:ascii="Times New Roman" w:cs="Times New Roman" w:eastAsia="Times New Roman" w:hAnsi="Times New Roman"/>
          <w:sz w:val="18"/>
          <w:szCs w:val="18"/>
          <w:color w:val="auto"/>
        </w:rPr>
        <w:t>Chairperson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-136525</wp:posOffset>
            </wp:positionV>
            <wp:extent cx="7132955" cy="1625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955" cy="162560"/>
                    </a:xfrm>
                    <a:prstGeom prst="rect">
                      <a:avLst/>
                    </a:prstGeom>
                    <a:noFill/>
                  </pic:spPr>
                </pic:pic>
              </a:graphicData>
            </a:graphic>
          </wp:anchor>
        </w:drawing>
      </w:r>
    </w:p>
    <w:p>
      <w:pPr>
        <w:ind w:left="820" w:hanging="761"/>
        <w:spacing w:after="0" w:line="181" w:lineRule="auto"/>
        <w:tabs>
          <w:tab w:leader="none" w:pos="820" w:val="left"/>
        </w:tabs>
        <w:numPr>
          <w:ilvl w:val="0"/>
          <w:numId w:val="60"/>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17"/>
          <w:szCs w:val="17"/>
          <w:color w:val="auto"/>
        </w:rPr>
        <w:t>Director</w:t>
      </w:r>
    </w:p>
    <w:p>
      <w:pPr>
        <w:spacing w:after="0" w:line="2" w:lineRule="exact"/>
        <w:rPr>
          <w:rFonts w:ascii="Times New Roman" w:cs="Times New Roman" w:eastAsia="Times New Roman" w:hAnsi="Times New Roman"/>
          <w:sz w:val="34"/>
          <w:szCs w:val="34"/>
          <w:color w:val="auto"/>
          <w:vertAlign w:val="superscript"/>
        </w:rPr>
      </w:pPr>
    </w:p>
    <w:p>
      <w:pPr>
        <w:ind w:left="820" w:hanging="761"/>
        <w:spacing w:after="0"/>
        <w:tabs>
          <w:tab w:leader="none" w:pos="8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w:t>
      </w:r>
    </w:p>
    <w:p>
      <w:pPr>
        <w:spacing w:after="0" w:line="6" w:lineRule="exact"/>
        <w:rPr>
          <w:rFonts w:ascii="Times New Roman" w:cs="Times New Roman" w:eastAsia="Times New Roman" w:hAnsi="Times New Roman"/>
          <w:sz w:val="18"/>
          <w:szCs w:val="18"/>
          <w:color w:val="auto"/>
        </w:rPr>
      </w:pPr>
    </w:p>
    <w:p>
      <w:pPr>
        <w:ind w:left="820" w:hanging="761"/>
        <w:spacing w:after="0" w:line="184" w:lineRule="auto"/>
        <w:tabs>
          <w:tab w:leader="none" w:pos="820" w:val="left"/>
        </w:tabs>
        <w:numPr>
          <w:ilvl w:val="0"/>
          <w:numId w:val="6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6"/>
          <w:szCs w:val="16"/>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-298450</wp:posOffset>
            </wp:positionV>
            <wp:extent cx="7132955" cy="13652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955" cy="136525"/>
                    </a:xfrm>
                    <a:prstGeom prst="rect">
                      <a:avLst/>
                    </a:prstGeom>
                    <a:noFill/>
                  </pic:spPr>
                </pic:pic>
              </a:graphicData>
            </a:graphic>
          </wp:anchor>
        </w:drawing>
      </w:r>
    </w:p>
    <w:p>
      <w:pPr>
        <w:spacing w:after="0" w:line="1246" w:lineRule="exact"/>
        <w:rPr>
          <w:sz w:val="20"/>
          <w:szCs w:val="20"/>
          <w:color w:val="auto"/>
        </w:rPr>
      </w:pPr>
    </w:p>
    <w:p>
      <w:pPr>
        <w:sectPr>
          <w:pgSz w:w="11900" w:h="16838" w:orient="portrait"/>
          <w:cols w:equalWidth="0" w:num="2">
            <w:col w:w="3400" w:space="520"/>
            <w:col w:w="7280"/>
          </w:cols>
          <w:pgMar w:left="320" w:top="871" w:right="379" w:bottom="1440" w:gutter="0" w:footer="0" w:header="0"/>
          <w:type w:val="continuous"/>
        </w:sectPr>
      </w:pPr>
    </w:p>
    <w:p>
      <w:pPr>
        <w:spacing w:after="0" w:line="24" w:lineRule="exact"/>
        <w:rPr>
          <w:sz w:val="20"/>
          <w:szCs w:val="20"/>
          <w:color w:val="auto"/>
        </w:rPr>
      </w:pPr>
    </w:p>
    <w:p>
      <w:pPr>
        <w:ind w:right="40" w:firstLine="646"/>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Joel Latham. </w:t>
      </w:r>
      <w:r>
        <w:rPr>
          <w:rFonts w:ascii="Times New Roman" w:cs="Times New Roman" w:eastAsia="Times New Roman" w:hAnsi="Times New Roman"/>
          <w:sz w:val="18"/>
          <w:szCs w:val="18"/>
          <w:color w:val="auto"/>
        </w:rPr>
        <w:t>Joel Latham has served as the Chief Executive Officer, President, and Director of Incannex Healthcare Inc. since July 2023.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 20 years of experience in both public and private sectors, Joel leads Incannex’s strategic vision, focusing on advancing innovative therapies through clinical development and regulatory approval. Previously, he was the CEO and Managing Director of Incannex Australia, where he played a key role in the company’s growth and its successful transition to Nasdaq. Joel has also held senior roles at Mars Foods, Tabcorp, and Philip Morris International, bringing extensive expertise in corporate strategy and global market expansion.</w:t>
      </w:r>
    </w:p>
    <w:p>
      <w:pPr>
        <w:spacing w:after="0" w:line="180" w:lineRule="exact"/>
        <w:rPr>
          <w:sz w:val="20"/>
          <w:szCs w:val="20"/>
          <w:color w:val="auto"/>
        </w:rPr>
      </w:pPr>
    </w:p>
    <w:p>
      <w:pPr>
        <w:ind w:firstLine="646"/>
        <w:spacing w:after="0" w:line="257" w:lineRule="auto"/>
        <w:rPr>
          <w:sz w:val="20"/>
          <w:szCs w:val="20"/>
          <w:color w:val="auto"/>
        </w:rPr>
      </w:pPr>
      <w:r>
        <w:rPr>
          <w:rFonts w:ascii="Times New Roman" w:cs="Times New Roman" w:eastAsia="Times New Roman" w:hAnsi="Times New Roman"/>
          <w:sz w:val="18"/>
          <w:szCs w:val="18"/>
          <w:b w:val="1"/>
          <w:bCs w:val="1"/>
          <w:color w:val="auto"/>
        </w:rPr>
        <w:t>Joseph Swan</w:t>
      </w:r>
      <w:r>
        <w:rPr>
          <w:rFonts w:ascii="Times New Roman" w:cs="Times New Roman" w:eastAsia="Times New Roman" w:hAnsi="Times New Roman"/>
          <w:sz w:val="18"/>
          <w:szCs w:val="18"/>
          <w:color w:val="auto"/>
        </w:rPr>
        <w:t>. Joseph Swan has served as the Chief Financial Officer and Secretary of Incannex Healthcare Inc. since February 2024, where 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oversees the company’s financial strategy, reporting, and regulatory compliance. Previously, he was the company’s Treasurer and Controller from July 2023 to February 2024, and before that, he served as Head of Finance for Incannex Australia from November 2021 to November 2023. Prior to joining Incannex, Joseph held roles as an Audit Supervisor at HLB Mann Judd, an Australian accounting and advisory firm, an internal auditor at INPEX Australia, and an analyst at Deloitte Australia. He is a Chartered Accountant and holds a degree in commerce, majoring in accounting, from the University of Western Australia.</w:t>
      </w:r>
    </w:p>
    <w:p>
      <w:pPr>
        <w:spacing w:after="0" w:line="179" w:lineRule="exact"/>
        <w:rPr>
          <w:sz w:val="20"/>
          <w:szCs w:val="20"/>
          <w:color w:val="auto"/>
        </w:rPr>
      </w:pPr>
    </w:p>
    <w:p>
      <w:pPr>
        <w:ind w:right="140" w:firstLine="646"/>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Lekhram Changoer. </w:t>
      </w:r>
      <w:r>
        <w:rPr>
          <w:rFonts w:ascii="Times New Roman" w:cs="Times New Roman" w:eastAsia="Times New Roman" w:hAnsi="Times New Roman"/>
          <w:sz w:val="18"/>
          <w:szCs w:val="18"/>
          <w:color w:val="auto"/>
        </w:rPr>
        <w:t>Lekhram Changoer has served as the Chief Technology Officer of Incannex Healthcare Inc. since July 2023, where 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oversees the company's technology strategy and innovation initiatives. Prior to this, he was the Chief Technology Officer of Incannex Australia from June 2022 to November 2023, following the acquisition of APIRx Pharmaceuticals LLC, a company he co-founded. At APIRx, Lekhram served as a Director from January 2019 to August 2022, specializing in cannabinoid-based active pharmaceutical ingredients. Before APIRx, he co-founded AXIM Biotechnologies, an ophthalmologic R&amp;D company, and served as its Chief Technology Officer from 2014 to 2020.</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00"/>
          </w:cols>
          <w:pgMar w:left="320" w:top="871" w:right="37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224" w:lineRule="exact"/>
        <w:rPr>
          <w:sz w:val="20"/>
          <w:szCs w:val="20"/>
          <w:color w:val="auto"/>
        </w:rPr>
      </w:pPr>
    </w:p>
    <w:p>
      <w:pPr>
        <w:ind w:right="40" w:firstLine="646"/>
        <w:spacing w:after="0" w:line="258" w:lineRule="auto"/>
        <w:rPr>
          <w:sz w:val="20"/>
          <w:szCs w:val="20"/>
          <w:color w:val="auto"/>
        </w:rPr>
      </w:pPr>
      <w:r>
        <w:rPr>
          <w:rFonts w:ascii="Times New Roman" w:cs="Times New Roman" w:eastAsia="Times New Roman" w:hAnsi="Times New Roman"/>
          <w:sz w:val="18"/>
          <w:szCs w:val="18"/>
          <w:b w:val="1"/>
          <w:bCs w:val="1"/>
          <w:color w:val="auto"/>
        </w:rPr>
        <w:t xml:space="preserve">Troy Valentine. </w:t>
      </w:r>
      <w:r>
        <w:rPr>
          <w:rFonts w:ascii="Times New Roman" w:cs="Times New Roman" w:eastAsia="Times New Roman" w:hAnsi="Times New Roman"/>
          <w:sz w:val="18"/>
          <w:szCs w:val="18"/>
          <w:color w:val="auto"/>
        </w:rPr>
        <w:t>Troy Valentine has served as the Chairman of the Board of Directors of Incannex Healthcare Inc. since November 2023 and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Chairman of the Board for Incannex Australia from December 2017 to November 2023. With over 27 years of experience in finance, managerial, and board roles, Troy began his career at Hartley Poynton (now Euroz Hartleys Limited) in 1994 before moving to Patersons Securities (now Canaccord Genuity) in 2000, where he became an Associate Director. He is also a director and co-founder of Alignment Capital Pty Ltd, a boutique corporate advisory firm established in 2014.</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xml:space="preserve">Peter Widdows. </w:t>
      </w:r>
      <w:r>
        <w:rPr>
          <w:rFonts w:ascii="Times New Roman" w:cs="Times New Roman" w:eastAsia="Times New Roman" w:hAnsi="Times New Roman"/>
          <w:sz w:val="18"/>
          <w:szCs w:val="18"/>
          <w:color w:val="auto"/>
        </w:rPr>
        <w:t>Peter Widdows has served as a Director of Incannex Healthcare Inc. since November 2023, following his role as Director</w:t>
      </w:r>
    </w:p>
    <w:p>
      <w:pPr>
        <w:spacing w:after="0" w:line="31" w:lineRule="exact"/>
        <w:rPr>
          <w:sz w:val="20"/>
          <w:szCs w:val="20"/>
          <w:color w:val="auto"/>
        </w:rPr>
      </w:pPr>
    </w:p>
    <w:p>
      <w:pPr>
        <w:ind w:right="120"/>
        <w:spacing w:after="0" w:line="272" w:lineRule="auto"/>
        <w:rPr>
          <w:sz w:val="20"/>
          <w:szCs w:val="20"/>
          <w:color w:val="auto"/>
        </w:rPr>
      </w:pPr>
      <w:r>
        <w:rPr>
          <w:rFonts w:ascii="Times New Roman" w:cs="Times New Roman" w:eastAsia="Times New Roman" w:hAnsi="Times New Roman"/>
          <w:sz w:val="17"/>
          <w:szCs w:val="17"/>
          <w:color w:val="auto"/>
        </w:rPr>
        <w:t>at Incannex Australia from 2018 to November 2023. With extensive experience in global leadership, Peter was the Regional Chief Executive Officer for Australasia and Greater China at H. J. Heinz Company from 2008 to 2010, and earlier, the CEO and Managing Director for Heinz Australia from 2002 to 2008. He also held senior roles at Starkist Foods Inc. in Cincinnati. Peter currently serves as Chairman of Sunny Queen Australia Ltd and as a Non-Executive Director of Youi Insurance Holdings Ltd. He is a Fellow Chartered Accountant, bringing deep expertise across finance, strategy, and operations.</w:t>
      </w:r>
    </w:p>
    <w:p>
      <w:pPr>
        <w:spacing w:after="0" w:line="169" w:lineRule="exact"/>
        <w:rPr>
          <w:sz w:val="20"/>
          <w:szCs w:val="20"/>
          <w:color w:val="auto"/>
        </w:rPr>
      </w:pPr>
    </w:p>
    <w:p>
      <w:pPr>
        <w:ind w:right="60" w:firstLine="646"/>
        <w:spacing w:after="0" w:line="258" w:lineRule="auto"/>
        <w:rPr>
          <w:sz w:val="20"/>
          <w:szCs w:val="20"/>
          <w:color w:val="auto"/>
        </w:rPr>
      </w:pPr>
      <w:r>
        <w:rPr>
          <w:rFonts w:ascii="Times New Roman" w:cs="Times New Roman" w:eastAsia="Times New Roman" w:hAnsi="Times New Roman"/>
          <w:sz w:val="18"/>
          <w:szCs w:val="18"/>
          <w:b w:val="1"/>
          <w:bCs w:val="1"/>
          <w:color w:val="auto"/>
        </w:rPr>
        <w:t>Dr. George Anastassov</w:t>
      </w:r>
      <w:r>
        <w:rPr>
          <w:rFonts w:ascii="Times New Roman" w:cs="Times New Roman" w:eastAsia="Times New Roman" w:hAnsi="Times New Roman"/>
          <w:sz w:val="18"/>
          <w:szCs w:val="18"/>
          <w:color w:val="auto"/>
        </w:rPr>
        <w:t>. Dr. George Anastassov has been a Director of Incannex Healthcare Inc. since November 2023, following his role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 at Incannex Australia from June 2022 to November 2023. A pioneer in cannabinoid-based therapies, Dr. Anastassov co-developed the world’s first cannabinoid-containing chewing gum delivery system. He co-founded and served as Managing Director of APIRx Pharmaceuticals LLC from 2017 to 2022, playing a pivotal role in the development of Combination Compounds. Previously, he was CEO and co-founder of AXIM Biotechnologies, an ophthalmologic research and development company, from 2014 to 2018.</w:t>
      </w:r>
    </w:p>
    <w:p>
      <w:pPr>
        <w:spacing w:after="0" w:line="180" w:lineRule="exact"/>
        <w:rPr>
          <w:sz w:val="20"/>
          <w:szCs w:val="20"/>
          <w:color w:val="auto"/>
        </w:rPr>
      </w:pPr>
    </w:p>
    <w:p>
      <w:pPr>
        <w:ind w:firstLine="646"/>
        <w:spacing w:after="0" w:line="258" w:lineRule="auto"/>
        <w:rPr>
          <w:sz w:val="20"/>
          <w:szCs w:val="20"/>
          <w:color w:val="auto"/>
        </w:rPr>
      </w:pPr>
      <w:r>
        <w:rPr>
          <w:rFonts w:ascii="Times New Roman" w:cs="Times New Roman" w:eastAsia="Times New Roman" w:hAnsi="Times New Roman"/>
          <w:sz w:val="18"/>
          <w:szCs w:val="18"/>
          <w:b w:val="1"/>
          <w:bCs w:val="1"/>
          <w:color w:val="auto"/>
        </w:rPr>
        <w:t>Robert Clark</w:t>
      </w:r>
      <w:r>
        <w:rPr>
          <w:rFonts w:ascii="Times New Roman" w:cs="Times New Roman" w:eastAsia="Times New Roman" w:hAnsi="Times New Roman"/>
          <w:sz w:val="18"/>
          <w:szCs w:val="18"/>
          <w:color w:val="auto"/>
        </w:rPr>
        <w:t>. Robert Clark has been a Director of Incannex Healthcare Inc. since November 2023, having previously held the same position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Incannex Australia from August 2022 to November 2023. He is a seasoned expert in strategic regulatory affairs, boasting over 38 years of extensive regulatory experience in the U.S. and internationally. Mr. Clark spent more than 20 years at Pfizer Inc. and over 10 years at Novo Nordisk. Since May 2012, he has held the role of Vice President, U.S. Regulatory Affairs at Novo Nordisk. Prior to this, he served as Vice President of Worldwide Regulatory Strategy and U.S. Regulatory Affairs at Pfizer from 1992 to 2021.</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 and Election of Directors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Family Relationships</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are no family relationships among any of our executive officers or directors.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Classified Board of Directors</w:t>
      </w:r>
    </w:p>
    <w:p>
      <w:pPr>
        <w:spacing w:after="0" w:line="228" w:lineRule="exact"/>
        <w:rPr>
          <w:sz w:val="20"/>
          <w:szCs w:val="20"/>
          <w:color w:val="auto"/>
        </w:rPr>
      </w:pPr>
    </w:p>
    <w:p>
      <w:pPr>
        <w:ind w:right="20" w:firstLine="646"/>
        <w:spacing w:after="0" w:line="260"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our business is to be managed by or under the direction of a classified board of directors. This means our board of directors is divided into three classes for purposes of election, with each class having as nearly as possible an equal number of directors. One class is elected at each annual meeting of stockholders to serve for a three-year term. The term of service of each class of directors is staggered so that the term of one class expires at each annual meeting of stockholders.</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board of directors currently consists of five (5) members, classified into three classes as follows:</w:t>
      </w:r>
    </w:p>
    <w:p>
      <w:pPr>
        <w:spacing w:after="0" w:line="224" w:lineRule="exact"/>
        <w:rPr>
          <w:sz w:val="20"/>
          <w:szCs w:val="20"/>
          <w:color w:val="auto"/>
        </w:rPr>
      </w:pPr>
    </w:p>
    <w:p>
      <w:pPr>
        <w:ind w:left="980" w:hanging="326"/>
        <w:spacing w:after="0"/>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 director is comprised of Peter Widdows, with a term ending at the 2027 annual meeting of stockholders;</w:t>
      </w:r>
    </w:p>
    <w:p>
      <w:pPr>
        <w:spacing w:after="0" w:line="223" w:lineRule="exact"/>
        <w:rPr>
          <w:rFonts w:ascii="Times New Roman" w:cs="Times New Roman" w:eastAsia="Times New Roman" w:hAnsi="Times New Roman"/>
          <w:sz w:val="18"/>
          <w:szCs w:val="18"/>
          <w:color w:val="auto"/>
        </w:rPr>
      </w:pPr>
    </w:p>
    <w:p>
      <w:pPr>
        <w:ind w:left="980" w:right="920" w:hanging="326"/>
        <w:spacing w:after="0" w:line="281" w:lineRule="auto"/>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 directors are comprised of Dr. George Anastassov and Robert Clark, with a term ending at the 2025 annual meeting of stockholders; and</w:t>
      </w:r>
    </w:p>
    <w:p>
      <w:pPr>
        <w:spacing w:after="0" w:line="161"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III directors are comprised of Joel Latham and Troy Valentine, with a term ending at the 2026 annual meeting of stockholders.</w:t>
      </w:r>
    </w:p>
    <w:p>
      <w:pPr>
        <w:spacing w:after="0" w:line="224" w:lineRule="exact"/>
        <w:rPr>
          <w:sz w:val="20"/>
          <w:szCs w:val="20"/>
          <w:color w:val="auto"/>
        </w:rPr>
      </w:pPr>
    </w:p>
    <w:p>
      <w:pPr>
        <w:ind w:right="40" w:firstLine="646"/>
        <w:spacing w:after="0" w:line="260"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authorized number of directors may be changed only by resolution of the board of directors. The division of our board of directors into three classes with staggered three-year terms may delay or prevent a change of our board of directors or a change in control of our company. Our directors may be removed only for cause by the affirmative vote of the holders of at least two-thirds of our outstanding voting stock then entitled to vote in an election of directors.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228" w:lineRule="exact"/>
        <w:rPr>
          <w:sz w:val="20"/>
          <w:szCs w:val="20"/>
          <w:color w:val="auto"/>
        </w:rPr>
      </w:pPr>
    </w:p>
    <w:p>
      <w:pPr>
        <w:ind w:right="60" w:firstLine="646"/>
        <w:spacing w:after="0" w:line="265" w:lineRule="auto"/>
        <w:rPr>
          <w:sz w:val="20"/>
          <w:szCs w:val="20"/>
          <w:color w:val="auto"/>
        </w:rPr>
      </w:pPr>
      <w:r>
        <w:rPr>
          <w:rFonts w:ascii="Times New Roman" w:cs="Times New Roman" w:eastAsia="Times New Roman" w:hAnsi="Times New Roman"/>
          <w:sz w:val="18"/>
          <w:szCs w:val="18"/>
          <w:color w:val="auto"/>
        </w:rPr>
        <w:t>The table below provides certain information regarding the diversity of our board of directors as of June 30, 2024. We do not have currently a board member who is diverse because we have determined that, in the best interest of our shareholders, following the Re-domiciliation, our directors would need to remain the same in the near-term in light of the directors’ knowledge of the Company’s business.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17" w:name="page118"/>
    <w:bookmarkEnd w:id="117"/>
    <w:p>
      <w:pPr>
        <w:ind w:left="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222885</wp:posOffset>
            </wp:positionH>
            <wp:positionV relativeFrom="page">
              <wp:posOffset>582930</wp:posOffset>
            </wp:positionV>
            <wp:extent cx="7102475" cy="1835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02475" cy="183515"/>
                    </a:xfrm>
                    <a:prstGeom prst="rect">
                      <a:avLst/>
                    </a:prstGeom>
                    <a:noFill/>
                  </pic:spPr>
                </pic:pic>
              </a:graphicData>
            </a:graphic>
          </wp:anchor>
        </w:drawing>
        <w:t>Board Diversity Matrix (as of June 30, 2024)</w:t>
      </w:r>
    </w:p>
    <w:p>
      <w:pPr>
        <w:spacing w:after="0" w:line="98" w:lineRule="exact"/>
        <w:rPr>
          <w:sz w:val="20"/>
          <w:szCs w:val="20"/>
          <w:color w:val="auto"/>
        </w:rPr>
      </w:pPr>
    </w:p>
    <w:tbl>
      <w:tblPr>
        <w:tblLayout w:type="fixed"/>
        <w:tblInd w:w="40" w:type="dxa"/>
        <w:tblCellMar>
          <w:top w:w="0" w:type="dxa"/>
          <w:left w:w="0" w:type="dxa"/>
          <w:bottom w:w="0" w:type="dxa"/>
          <w:right w:w="0" w:type="dxa"/>
        </w:tblCellMar>
      </w:tblPr>
      <w:tr>
        <w:trPr>
          <w:trHeight w:val="242"/>
        </w:trPr>
        <w:tc>
          <w:tcPr>
            <w:tcW w:w="20" w:type="dxa"/>
            <w:vAlign w:val="bottom"/>
            <w:shd w:val="clear" w:color="auto" w:fill="000000"/>
          </w:tcPr>
          <w:p>
            <w:pPr>
              <w:spacing w:after="0"/>
              <w:rPr>
                <w:sz w:val="21"/>
                <w:szCs w:val="21"/>
                <w:color w:val="auto"/>
              </w:rPr>
            </w:pPr>
          </w:p>
        </w:tc>
        <w:tc>
          <w:tcPr>
            <w:tcW w:w="4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Number of Directors</w:t>
            </w:r>
          </w:p>
        </w:tc>
        <w:tc>
          <w:tcPr>
            <w:tcW w:w="20" w:type="dxa"/>
            <w:vAlign w:val="bottom"/>
            <w:shd w:val="clear" w:color="auto" w:fill="000000"/>
          </w:tcPr>
          <w:p>
            <w:pPr>
              <w:spacing w:after="0"/>
              <w:rPr>
                <w:sz w:val="21"/>
                <w:szCs w:val="21"/>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auto"/>
            </w:tcBorders>
          </w:tcPr>
          <w:p>
            <w:pPr>
              <w:spacing w:after="0" w:line="20" w:lineRule="exact"/>
              <w:rPr>
                <w:sz w:val="1"/>
                <w:szCs w:val="1"/>
                <w:color w:val="auto"/>
              </w:rPr>
            </w:pPr>
          </w:p>
        </w:tc>
        <w:tc>
          <w:tcPr>
            <w:tcW w:w="48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Borders>
              <w:top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Female</w:t>
            </w: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1440" w:type="dxa"/>
            <w:vAlign w:val="bottom"/>
            <w:tcBorders>
              <w:top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Male</w:t>
            </w: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142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Non-Binary</w:t>
            </w: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1860" w:type="dxa"/>
            <w:vAlign w:val="bottom"/>
            <w:tcBorders>
              <w:top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Did Not Disclose</w:t>
            </w: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shd w:val="clear" w:color="auto" w:fill="000000"/>
          </w:tcPr>
          <w:p>
            <w:pPr>
              <w:spacing w:after="0"/>
              <w:rPr>
                <w:sz w:val="17"/>
                <w:szCs w:val="17"/>
                <w:color w:val="auto"/>
              </w:rPr>
            </w:pPr>
          </w:p>
        </w:tc>
        <w:tc>
          <w:tcPr>
            <w:tcW w:w="484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20" w:type="dxa"/>
            <w:vAlign w:val="bottom"/>
            <w:vMerge w:val="continue"/>
          </w:tcPr>
          <w:p>
            <w:pPr>
              <w:spacing w:after="0"/>
              <w:rPr>
                <w:sz w:val="17"/>
                <w:szCs w:val="17"/>
                <w:color w:val="auto"/>
              </w:rPr>
            </w:pPr>
          </w:p>
        </w:tc>
        <w:tc>
          <w:tcPr>
            <w:tcW w:w="1860" w:type="dxa"/>
            <w:vAlign w:val="bottom"/>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0" w:type="dxa"/>
            <w:vAlign w:val="bottom"/>
            <w:tcBorders>
              <w:bottom w:val="single" w:sz="8" w:color="auto"/>
            </w:tcBorders>
            <w:shd w:val="clear" w:color="auto" w:fill="000000"/>
          </w:tcPr>
          <w:p>
            <w:pPr>
              <w:spacing w:after="0"/>
              <w:rPr>
                <w:sz w:val="21"/>
                <w:szCs w:val="21"/>
                <w:color w:val="auto"/>
              </w:rPr>
            </w:pPr>
          </w:p>
        </w:tc>
        <w:tc>
          <w:tcPr>
            <w:tcW w:w="48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20" w:type="dxa"/>
            <w:vAlign w:val="bottom"/>
          </w:tcPr>
          <w:p>
            <w:pPr>
              <w:spacing w:after="0"/>
              <w:rPr>
                <w:sz w:val="21"/>
                <w:szCs w:val="21"/>
                <w:color w:val="auto"/>
              </w:rPr>
            </w:pPr>
          </w:p>
        </w:tc>
        <w:tc>
          <w:tcPr>
            <w:tcW w:w="18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Gender</w:t>
            </w:r>
          </w:p>
        </w:tc>
        <w:tc>
          <w:tcPr>
            <w:tcW w:w="20" w:type="dxa"/>
            <w:vAlign w:val="bottom"/>
            <w:tcBorders>
              <w:bottom w:val="single" w:sz="8" w:color="auto"/>
            </w:tcBorders>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Borders>
              <w:bottom w:val="single" w:sz="8" w:color="auto"/>
            </w:tcBorders>
            <w:shd w:val="clear" w:color="auto" w:fill="000000"/>
          </w:tcPr>
          <w:p>
            <w:pPr>
              <w:spacing w:after="0"/>
              <w:rPr>
                <w:sz w:val="20"/>
                <w:szCs w:val="20"/>
                <w:color w:val="auto"/>
              </w:rPr>
            </w:pPr>
          </w:p>
        </w:tc>
        <w:tc>
          <w:tcPr>
            <w:tcW w:w="4860" w:type="dxa"/>
            <w:vAlign w:val="bottom"/>
            <w:tcBorders>
              <w:bottom w:val="single" w:sz="8" w:color="auto"/>
            </w:tcBorders>
            <w:gridSpan w:val="2"/>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Directors</w:t>
            </w:r>
          </w:p>
        </w:tc>
        <w:tc>
          <w:tcPr>
            <w:tcW w:w="20" w:type="dxa"/>
            <w:vAlign w:val="bottom"/>
          </w:tcPr>
          <w:p>
            <w:pPr>
              <w:spacing w:after="0"/>
              <w:rPr>
                <w:sz w:val="2"/>
                <w:szCs w:val="2"/>
                <w:color w:val="auto"/>
              </w:rPr>
            </w:pPr>
          </w:p>
        </w:tc>
        <w:tc>
          <w:tcPr>
            <w:tcW w:w="1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2"/>
                <w:szCs w:val="2"/>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
                <w:szCs w:val="2"/>
                <w:color w:val="auto"/>
              </w:rPr>
            </w:pPr>
          </w:p>
        </w:tc>
        <w:tc>
          <w:tcPr>
            <w:tcW w:w="14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2"/>
                <w:szCs w:val="2"/>
                <w:color w:val="auto"/>
              </w:rPr>
            </w:pPr>
          </w:p>
        </w:tc>
        <w:tc>
          <w:tcPr>
            <w:tcW w:w="18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shd w:val="clear" w:color="auto" w:fill="000000"/>
          </w:tcPr>
          <w:p>
            <w:pPr>
              <w:spacing w:after="0"/>
              <w:rPr>
                <w:sz w:val="20"/>
                <w:szCs w:val="20"/>
                <w:color w:val="auto"/>
              </w:rPr>
            </w:pPr>
          </w:p>
        </w:tc>
        <w:tc>
          <w:tcPr>
            <w:tcW w:w="4840" w:type="dxa"/>
            <w:vAlign w:val="bottom"/>
            <w:vMerge w:val="continue"/>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1880" w:type="dxa"/>
            <w:vAlign w:val="bottom"/>
            <w:gridSpan w:val="2"/>
            <w:vMerge w:val="continue"/>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top w:val="single" w:sz="8" w:color="auto"/>
            </w:tcBorders>
          </w:tcPr>
          <w:p>
            <w:pPr>
              <w:spacing w:after="0"/>
              <w:rPr>
                <w:sz w:val="2"/>
                <w:szCs w:val="2"/>
                <w:color w:val="auto"/>
              </w:rPr>
            </w:pPr>
          </w:p>
        </w:tc>
        <w:tc>
          <w:tcPr>
            <w:tcW w:w="4860" w:type="dxa"/>
            <w:vAlign w:val="bottom"/>
            <w:tcBorders>
              <w:top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2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Borders>
              <w:bottom w:val="single" w:sz="8" w:color="auto"/>
            </w:tcBorders>
            <w:shd w:val="clear" w:color="auto" w:fill="000000"/>
          </w:tcPr>
          <w:p>
            <w:pPr>
              <w:spacing w:after="0"/>
              <w:rPr>
                <w:sz w:val="20"/>
                <w:szCs w:val="20"/>
                <w:color w:val="auto"/>
              </w:rPr>
            </w:pPr>
          </w:p>
        </w:tc>
        <w:tc>
          <w:tcPr>
            <w:tcW w:w="4860" w:type="dxa"/>
            <w:vAlign w:val="bottom"/>
            <w:tcBorders>
              <w:bottom w:val="single" w:sz="8" w:color="auto"/>
            </w:tcBorders>
            <w:gridSpan w:val="2"/>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4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Borders>
              <w:bottom w:val="single" w:sz="8" w:color="auto"/>
            </w:tcBorders>
            <w:shd w:val="clear" w:color="auto" w:fill="000000"/>
          </w:tcPr>
          <w:p>
            <w:pPr>
              <w:spacing w:after="0"/>
              <w:rPr>
                <w:sz w:val="20"/>
                <w:szCs w:val="20"/>
                <w:color w:val="auto"/>
              </w:rPr>
            </w:pPr>
          </w:p>
        </w:tc>
        <w:tc>
          <w:tcPr>
            <w:tcW w:w="484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20" w:type="dxa"/>
            <w:vAlign w:val="bottom"/>
            <w:vMerge w:val="continue"/>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4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Borders>
              <w:bottom w:val="single" w:sz="8" w:color="auto"/>
            </w:tcBorders>
            <w:shd w:val="clear" w:color="auto" w:fill="000000"/>
          </w:tcPr>
          <w:p>
            <w:pPr>
              <w:spacing w:after="0"/>
              <w:rPr>
                <w:sz w:val="20"/>
                <w:szCs w:val="20"/>
                <w:color w:val="auto"/>
              </w:rPr>
            </w:pPr>
          </w:p>
        </w:tc>
        <w:tc>
          <w:tcPr>
            <w:tcW w:w="484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20" w:type="dxa"/>
            <w:vAlign w:val="bottom"/>
            <w:vMerge w:val="continue"/>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Asian</w:t>
            </w:r>
          </w:p>
        </w:tc>
        <w:tc>
          <w:tcPr>
            <w:tcW w:w="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4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Borders>
              <w:bottom w:val="single" w:sz="8" w:color="auto"/>
            </w:tcBorders>
            <w:shd w:val="clear" w:color="auto" w:fill="000000"/>
          </w:tcPr>
          <w:p>
            <w:pPr>
              <w:spacing w:after="0"/>
              <w:rPr>
                <w:sz w:val="20"/>
                <w:szCs w:val="20"/>
                <w:color w:val="auto"/>
              </w:rPr>
            </w:pPr>
          </w:p>
        </w:tc>
        <w:tc>
          <w:tcPr>
            <w:tcW w:w="484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20" w:type="dxa"/>
            <w:vAlign w:val="bottom"/>
            <w:vMerge w:val="continue"/>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Hispanic or Latinx</w:t>
            </w:r>
          </w:p>
        </w:tc>
        <w:tc>
          <w:tcPr>
            <w:tcW w:w="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4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Borders>
              <w:bottom w:val="single" w:sz="8" w:color="auto"/>
            </w:tcBorders>
            <w:shd w:val="clear" w:color="auto" w:fill="000000"/>
          </w:tcPr>
          <w:p>
            <w:pPr>
              <w:spacing w:after="0"/>
              <w:rPr>
                <w:sz w:val="20"/>
                <w:szCs w:val="20"/>
                <w:color w:val="auto"/>
              </w:rPr>
            </w:pPr>
          </w:p>
        </w:tc>
        <w:tc>
          <w:tcPr>
            <w:tcW w:w="484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20" w:type="dxa"/>
            <w:vAlign w:val="bottom"/>
            <w:vMerge w:val="continue"/>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4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Borders>
              <w:bottom w:val="single" w:sz="8" w:color="auto"/>
            </w:tcBorders>
            <w:shd w:val="clear" w:color="auto" w:fill="000000"/>
          </w:tcPr>
          <w:p>
            <w:pPr>
              <w:spacing w:after="0"/>
              <w:rPr>
                <w:sz w:val="20"/>
                <w:szCs w:val="20"/>
                <w:color w:val="auto"/>
              </w:rPr>
            </w:pPr>
          </w:p>
        </w:tc>
        <w:tc>
          <w:tcPr>
            <w:tcW w:w="484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20" w:type="dxa"/>
            <w:vAlign w:val="bottom"/>
            <w:vMerge w:val="continue"/>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White</w:t>
            </w:r>
          </w:p>
        </w:tc>
        <w:tc>
          <w:tcPr>
            <w:tcW w:w="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4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Borders>
              <w:bottom w:val="single" w:sz="8" w:color="auto"/>
            </w:tcBorders>
            <w:shd w:val="clear" w:color="auto" w:fill="000000"/>
          </w:tcPr>
          <w:p>
            <w:pPr>
              <w:spacing w:after="0"/>
              <w:rPr>
                <w:sz w:val="20"/>
                <w:szCs w:val="20"/>
                <w:color w:val="auto"/>
              </w:rPr>
            </w:pPr>
          </w:p>
        </w:tc>
        <w:tc>
          <w:tcPr>
            <w:tcW w:w="484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20" w:type="dxa"/>
            <w:vAlign w:val="bottom"/>
            <w:vMerge w:val="continue"/>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4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Borders>
              <w:bottom w:val="single" w:sz="8" w:color="auto"/>
            </w:tcBorders>
            <w:shd w:val="clear" w:color="auto" w:fill="000000"/>
          </w:tcPr>
          <w:p>
            <w:pPr>
              <w:spacing w:after="0"/>
              <w:rPr>
                <w:sz w:val="20"/>
                <w:szCs w:val="20"/>
                <w:color w:val="auto"/>
              </w:rPr>
            </w:pPr>
          </w:p>
        </w:tc>
        <w:tc>
          <w:tcPr>
            <w:tcW w:w="484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20" w:type="dxa"/>
            <w:vAlign w:val="bottom"/>
            <w:vMerge w:val="continue"/>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LGBTQ+</w:t>
            </w:r>
          </w:p>
        </w:tc>
        <w:tc>
          <w:tcPr>
            <w:tcW w:w="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4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Borders>
              <w:bottom w:val="single" w:sz="8" w:color="auto"/>
            </w:tcBorders>
            <w:shd w:val="clear" w:color="auto" w:fill="000000"/>
          </w:tcPr>
          <w:p>
            <w:pPr>
              <w:spacing w:after="0"/>
              <w:rPr>
                <w:sz w:val="20"/>
                <w:szCs w:val="20"/>
                <w:color w:val="auto"/>
              </w:rPr>
            </w:pPr>
          </w:p>
        </w:tc>
        <w:tc>
          <w:tcPr>
            <w:tcW w:w="484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20" w:type="dxa"/>
            <w:vAlign w:val="bottom"/>
            <w:vMerge w:val="continue"/>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4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Borders>
              <w:bottom w:val="single" w:sz="8" w:color="auto"/>
            </w:tcBorders>
            <w:shd w:val="clear" w:color="auto" w:fill="000000"/>
          </w:tcPr>
          <w:p>
            <w:pPr>
              <w:spacing w:after="0"/>
              <w:rPr>
                <w:sz w:val="20"/>
                <w:szCs w:val="20"/>
                <w:color w:val="auto"/>
              </w:rPr>
            </w:pPr>
          </w:p>
        </w:tc>
        <w:tc>
          <w:tcPr>
            <w:tcW w:w="484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20" w:type="dxa"/>
            <w:vAlign w:val="bottom"/>
            <w:vMerge w:val="continue"/>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Corporate Governance Matters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8" w:lineRule="exact"/>
        <w:rPr>
          <w:sz w:val="20"/>
          <w:szCs w:val="20"/>
          <w:color w:val="auto"/>
        </w:rPr>
      </w:pPr>
    </w:p>
    <w:p>
      <w:pPr>
        <w:ind w:right="700" w:firstLine="646"/>
        <w:spacing w:after="0" w:line="281" w:lineRule="auto"/>
        <w:rPr>
          <w:sz w:val="20"/>
          <w:szCs w:val="20"/>
          <w:color w:val="auto"/>
        </w:rPr>
      </w:pPr>
      <w:r>
        <w:rPr>
          <w:rFonts w:ascii="Times New Roman" w:cs="Times New Roman" w:eastAsia="Times New Roman" w:hAnsi="Times New Roman"/>
          <w:sz w:val="18"/>
          <w:szCs w:val="18"/>
          <w:color w:val="auto"/>
        </w:rPr>
        <w:t>The audit committee of the board of director’s (the “audit committee”) main function is to oversee our accounting and financial reporting processes and the audits of our financial statements. This committee’s responsibilities include, among other things:</w:t>
      </w:r>
    </w:p>
    <w:p>
      <w:pPr>
        <w:spacing w:after="0" w:line="162" w:lineRule="exact"/>
        <w:rPr>
          <w:sz w:val="20"/>
          <w:szCs w:val="20"/>
          <w:color w:val="auto"/>
        </w:rPr>
      </w:pPr>
    </w:p>
    <w:p>
      <w:pPr>
        <w:ind w:left="980" w:hanging="326"/>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our independent registered public accounting firm;</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qualifications, independence and performance of our independent registered public accounting firm;</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audit and non-audit services to be performed by our independent registered public accounting firm;</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design, implementation, adequacy and effectiveness of our internal accounting controls and our critical accounting policies;</w:t>
      </w:r>
    </w:p>
    <w:p>
      <w:pPr>
        <w:spacing w:after="0" w:line="223" w:lineRule="exact"/>
        <w:rPr>
          <w:rFonts w:ascii="Times New Roman" w:cs="Times New Roman" w:eastAsia="Times New Roman" w:hAnsi="Times New Roman"/>
          <w:sz w:val="18"/>
          <w:szCs w:val="18"/>
          <w:color w:val="auto"/>
        </w:rPr>
      </w:pPr>
    </w:p>
    <w:p>
      <w:pPr>
        <w:ind w:left="980" w:right="480" w:hanging="326"/>
        <w:spacing w:after="0" w:line="281" w:lineRule="auto"/>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and the independent registered public accounting firm the results of our annual audit and the review of our quarterly unaudited financial statements;</w:t>
      </w:r>
    </w:p>
    <w:p>
      <w:pPr>
        <w:spacing w:after="0" w:line="161" w:lineRule="exact"/>
        <w:rPr>
          <w:rFonts w:ascii="Times New Roman" w:cs="Times New Roman" w:eastAsia="Times New Roman" w:hAnsi="Times New Roman"/>
          <w:sz w:val="18"/>
          <w:szCs w:val="18"/>
          <w:color w:val="auto"/>
        </w:rPr>
      </w:pPr>
    </w:p>
    <w:p>
      <w:pPr>
        <w:ind w:left="980" w:right="160" w:hanging="326"/>
        <w:spacing w:after="0" w:line="281" w:lineRule="auto"/>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overseeing and monitoring the integrity of our financial statements and our compliance with legal and regulatory requirements as they relate to financial statements or accounting matters;</w:t>
      </w:r>
    </w:p>
    <w:p>
      <w:pPr>
        <w:spacing w:after="0" w:line="161" w:lineRule="exact"/>
        <w:rPr>
          <w:rFonts w:ascii="Times New Roman" w:cs="Times New Roman" w:eastAsia="Times New Roman" w:hAnsi="Times New Roman"/>
          <w:sz w:val="18"/>
          <w:szCs w:val="18"/>
          <w:color w:val="auto"/>
        </w:rPr>
      </w:pPr>
    </w:p>
    <w:p>
      <w:pPr>
        <w:ind w:left="980" w:right="780" w:hanging="326"/>
        <w:spacing w:after="0" w:line="281" w:lineRule="auto"/>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our auditors any earnings announcements and other public announcements regarding our results of operations;</w:t>
      </w:r>
    </w:p>
    <w:p>
      <w:pPr>
        <w:spacing w:after="0" w:line="161"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report that the SEC requires in our annual proxy statement;</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any related party transactions and reviewing and monitoring compliance with our code of conduct and ethics; and</w:t>
      </w:r>
    </w:p>
    <w:p>
      <w:pPr>
        <w:spacing w:after="0" w:line="223" w:lineRule="exact"/>
        <w:rPr>
          <w:rFonts w:ascii="Times New Roman" w:cs="Times New Roman" w:eastAsia="Times New Roman" w:hAnsi="Times New Roman"/>
          <w:sz w:val="18"/>
          <w:szCs w:val="18"/>
          <w:color w:val="auto"/>
        </w:rPr>
      </w:pPr>
    </w:p>
    <w:p>
      <w:pPr>
        <w:ind w:left="980" w:right="580" w:hanging="326"/>
        <w:spacing w:after="0" w:line="281" w:lineRule="auto"/>
        <w:tabs>
          <w:tab w:leader="none" w:pos="9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at least annually, the performance of the audit committee and its members including compliance of the audit committee with its charter.</w:t>
      </w:r>
    </w:p>
    <w:p>
      <w:pPr>
        <w:spacing w:after="0" w:line="162" w:lineRule="exact"/>
        <w:rPr>
          <w:sz w:val="20"/>
          <w:szCs w:val="20"/>
          <w:color w:val="auto"/>
        </w:rPr>
      </w:pPr>
    </w:p>
    <w:p>
      <w:pPr>
        <w:ind w:right="60" w:firstLine="646"/>
        <w:spacing w:after="0" w:line="253" w:lineRule="auto"/>
        <w:rPr>
          <w:sz w:val="20"/>
          <w:szCs w:val="20"/>
          <w:color w:val="auto"/>
        </w:rPr>
      </w:pPr>
      <w:r>
        <w:rPr>
          <w:rFonts w:ascii="Times New Roman" w:cs="Times New Roman" w:eastAsia="Times New Roman" w:hAnsi="Times New Roman"/>
          <w:sz w:val="18"/>
          <w:szCs w:val="18"/>
          <w:color w:val="auto"/>
        </w:rPr>
        <w:t>The members of our audit committee are Peter Widdows, Robert Clark and Troy Valentine. Mr. Widdows serves as the Chairperson of the audit committee. All members of our audit committee meet the requirements for financial literacy under the applicable rules and regulations of the SEC and Nasdaq. Our board of directors has determined that Mr. Widdows is an “audit committee financial expert” as defined by applicable SEC rules and has the requisite financial sophistication as defined under the applicable Nasdaq listing standards. Our board of directors has determined that each of Mr. Widdows and Mr. Clark is independent under the applicable rules of the SEC and Nasdaq. Mr. Valentine was appointed as a member of the audit committee on October 5, 2023, but is not independent under the applicable rules of the SEC and Nasdaq. However, pursuant to Nasdaq Listing Rule 5605(c)(2)(B), the board of directors has determined that Mr. Valentine’s appointment as a member of the audit committee is in the best interest of the Company and its stockholders, such that Mr. Valentine may serve as a member of the audit committee until October 5, 2025. The audit committee operates under a written charter that satisfies the applicable standards of the SEC and Nasdaq.</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 material changes have been made to the procedures by which stockholders may recommend nominees to our board of directors.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925" w:right="359" w:bottom="551"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Securities Trading Policy</w:t>
      </w:r>
    </w:p>
    <w:p>
      <w:pPr>
        <w:spacing w:after="0" w:line="228" w:lineRule="exact"/>
        <w:rPr>
          <w:sz w:val="20"/>
          <w:szCs w:val="20"/>
          <w:color w:val="auto"/>
        </w:rPr>
      </w:pPr>
    </w:p>
    <w:p>
      <w:pPr>
        <w:ind w:firstLine="646"/>
        <w:spacing w:after="0" w:line="257" w:lineRule="auto"/>
        <w:rPr>
          <w:sz w:val="20"/>
          <w:szCs w:val="20"/>
          <w:color w:val="auto"/>
        </w:rPr>
      </w:pPr>
      <w:r>
        <w:rPr>
          <w:rFonts w:ascii="Times New Roman" w:cs="Times New Roman" w:eastAsia="Times New Roman" w:hAnsi="Times New Roman"/>
          <w:sz w:val="18"/>
          <w:szCs w:val="18"/>
          <w:color w:val="auto"/>
        </w:rPr>
        <w:t>We have adopted a Securities Trading Policy governing the purchase, sale, and/or other dispositions of the Company's securities by directors, officers, employees and consultants. We believe the Securities Trading Policy is reasonably designed to promote compliance with insider trading laws, rules and regulations, and the listing standards applicable to the Company. The Securities Trading Policy will be reviewed evaluated and revised by the Company from time to time in light of regulatory changes, developments in the Company’s business and other factors. A copy of the Securities Trading Policy is filed as Exhibit 19.1 to this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228" w:lineRule="exact"/>
        <w:rPr>
          <w:sz w:val="20"/>
          <w:szCs w:val="20"/>
          <w:color w:val="auto"/>
        </w:rPr>
      </w:pPr>
    </w:p>
    <w:p>
      <w:pPr>
        <w:ind w:right="40" w:firstLine="646"/>
        <w:spacing w:after="0" w:line="257" w:lineRule="auto"/>
        <w:rPr>
          <w:sz w:val="20"/>
          <w:szCs w:val="20"/>
          <w:color w:val="auto"/>
        </w:rPr>
      </w:pPr>
      <w:r>
        <w:rPr>
          <w:rFonts w:ascii="Times New Roman" w:cs="Times New Roman" w:eastAsia="Times New Roman" w:hAnsi="Times New Roman"/>
          <w:sz w:val="18"/>
          <w:szCs w:val="18"/>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Our code of business conduct and ethics is available under the Corporate Governance section of our website at www.incannex.com. In addition, we intend to post on our website all disclosures that are required by law or the listing standards of the Nasdaq Global Market concerning any amendments to, or waivers from, any provision of the code.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8" w:lineRule="exact"/>
        <w:rPr>
          <w:sz w:val="20"/>
          <w:szCs w:val="20"/>
          <w:color w:val="auto"/>
        </w:rPr>
      </w:pPr>
    </w:p>
    <w:p>
      <w:pPr>
        <w:ind w:right="40" w:firstLine="646"/>
        <w:spacing w:after="0" w:line="260" w:lineRule="auto"/>
        <w:rPr>
          <w:sz w:val="20"/>
          <w:szCs w:val="20"/>
          <w:color w:val="auto"/>
        </w:rPr>
      </w:pPr>
      <w:r>
        <w:rPr>
          <w:rFonts w:ascii="Times New Roman" w:cs="Times New Roman" w:eastAsia="Times New Roman" w:hAnsi="Times New Roman"/>
          <w:sz w:val="18"/>
          <w:szCs w:val="18"/>
          <w:color w:val="auto"/>
        </w:rPr>
        <w:t>Based solely on a review of the Section 16 reports filed electronically with the SEC and written representations from certain reporting persons, the Company believes that, during the fiscal year ended June 30, 2024, all Section 16(a) reports required to be filed by its officers, directors, and greater than ten percent beneficial owners were timely filed; except that a report covering one transaction of an award of restricted stock on May 6, 2024 to Joseph Swan, the Company’s Chief Financial Officer, was reported late on a Form 5 filed on August 2,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and Director Compensation</w:t>
      </w:r>
    </w:p>
    <w:p>
      <w:pPr>
        <w:spacing w:after="0" w:line="228" w:lineRule="exact"/>
        <w:rPr>
          <w:sz w:val="20"/>
          <w:szCs w:val="20"/>
          <w:color w:val="auto"/>
        </w:rPr>
      </w:pPr>
    </w:p>
    <w:p>
      <w:pPr>
        <w:ind w:right="540" w:firstLine="646"/>
        <w:spacing w:after="0" w:line="281" w:lineRule="auto"/>
        <w:rPr>
          <w:sz w:val="20"/>
          <w:szCs w:val="20"/>
          <w:color w:val="auto"/>
        </w:rPr>
      </w:pPr>
      <w:r>
        <w:rPr>
          <w:rFonts w:ascii="Times New Roman" w:cs="Times New Roman" w:eastAsia="Times New Roman" w:hAnsi="Times New Roman"/>
          <w:sz w:val="18"/>
          <w:szCs w:val="18"/>
          <w:color w:val="auto"/>
        </w:rPr>
        <w:t>The following tables and accompanying narrative disclosure set forth information about the compensation provided to our named executive officers during the fiscal year ended June 30, 2024, who were:</w:t>
      </w:r>
    </w:p>
    <w:p>
      <w:pPr>
        <w:spacing w:after="0" w:line="162" w:lineRule="exact"/>
        <w:rPr>
          <w:sz w:val="20"/>
          <w:szCs w:val="20"/>
          <w:color w:val="auto"/>
        </w:rPr>
      </w:pPr>
    </w:p>
    <w:p>
      <w:pPr>
        <w:ind w:left="980" w:hanging="326"/>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Joel Latham, Chief Executive Officer, President and Director;</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Lekhram Changoer, Chief Technical Officer; and</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Joseph Swan, Chief Financial Officer, Treasurer and Secretary.</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871" w:right="3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8" w:lineRule="exact"/>
        <w:rPr>
          <w:sz w:val="20"/>
          <w:szCs w:val="20"/>
          <w:color w:val="auto"/>
        </w:rPr>
      </w:pPr>
    </w:p>
    <w:p>
      <w:pPr>
        <w:ind w:right="300" w:firstLine="646"/>
        <w:spacing w:after="0" w:line="260" w:lineRule="auto"/>
        <w:rPr>
          <w:sz w:val="20"/>
          <w:szCs w:val="20"/>
          <w:color w:val="auto"/>
        </w:rPr>
      </w:pPr>
      <w:r>
        <w:rPr>
          <w:rFonts w:ascii="Times New Roman" w:cs="Times New Roman" w:eastAsia="Times New Roman" w:hAnsi="Times New Roman"/>
          <w:sz w:val="18"/>
          <w:szCs w:val="18"/>
          <w:color w:val="auto"/>
        </w:rPr>
        <w:t>The following table sets forth information shows the total compensation paid or accrued to our named executive officers during the fiscal years ended June 30, 2024 and 2023. All compensation to our named executive officers is paid in Australian dollars and then converted in U.S. dollars for purposes of reporting in accordance with Note 2 to our financial statements included in this Annual Report, under the heading “Foreign Currency Translation.”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Incentive Plan</w:t>
            </w:r>
          </w:p>
        </w:tc>
        <w:tc>
          <w:tcPr>
            <w:tcW w:w="132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rPr>
              <w:t>All Other</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6"/>
        </w:trPr>
        <w:tc>
          <w:tcPr>
            <w:tcW w:w="2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12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0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center"/>
              <w:spacing w:after="0" w:line="269"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(1)</w:t>
            </w:r>
          </w:p>
        </w:tc>
        <w:tc>
          <w:tcPr>
            <w:tcW w:w="220" w:type="dxa"/>
            <w:vAlign w:val="bottom"/>
            <w:tcBorders>
              <w:bottom w:val="single" w:sz="8" w:color="CCEEFF"/>
            </w:tcBorders>
          </w:tcPr>
          <w:p>
            <w:pPr>
              <w:spacing w:after="0"/>
              <w:rPr>
                <w:sz w:val="24"/>
                <w:szCs w:val="24"/>
                <w:color w:val="auto"/>
              </w:rPr>
            </w:pPr>
          </w:p>
        </w:tc>
        <w:tc>
          <w:tcPr>
            <w:tcW w:w="860" w:type="dxa"/>
            <w:vAlign w:val="bottom"/>
            <w:tcBorders>
              <w:bottom w:val="single" w:sz="8" w:color="auto"/>
            </w:tcBorders>
          </w:tcPr>
          <w:p>
            <w:pPr>
              <w:jc w:val="center"/>
              <w:spacing w:after="0" w:line="269" w:lineRule="exact"/>
              <w:rPr>
                <w:sz w:val="20"/>
                <w:szCs w:val="20"/>
                <w:color w:val="auto"/>
              </w:rPr>
            </w:pPr>
            <w:r>
              <w:rPr>
                <w:rFonts w:ascii="Times New Roman" w:cs="Times New Roman" w:eastAsia="Times New Roman" w:hAnsi="Times New Roman"/>
                <w:sz w:val="18"/>
                <w:szCs w:val="18"/>
                <w:b w:val="1"/>
                <w:bCs w:val="1"/>
                <w:color w:val="auto"/>
                <w:w w:val="87"/>
              </w:rPr>
              <w:t>($)</w:t>
            </w:r>
            <w:r>
              <w:rPr>
                <w:rFonts w:ascii="Times New Roman" w:cs="Times New Roman" w:eastAsia="Times New Roman" w:hAnsi="Times New Roman"/>
                <w:sz w:val="29"/>
                <w:szCs w:val="29"/>
                <w:b w:val="1"/>
                <w:bCs w:val="1"/>
                <w:color w:val="auto"/>
                <w:w w:val="87"/>
                <w:vertAlign w:val="superscript"/>
              </w:rPr>
              <w:t>(1)</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Joel Latham</w:t>
            </w:r>
            <w:r>
              <w:rPr>
                <w:rFonts w:ascii="Times New Roman" w:cs="Times New Roman" w:eastAsia="Times New Roman" w:hAnsi="Times New Roman"/>
                <w:sz w:val="29"/>
                <w:szCs w:val="29"/>
                <w:color w:val="auto"/>
                <w:vertAlign w:val="superscript"/>
              </w:rPr>
              <w:t>(2)</w:t>
            </w:r>
          </w:p>
        </w:tc>
        <w:tc>
          <w:tcPr>
            <w:tcW w:w="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595,958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4,955,360</w:t>
            </w:r>
          </w:p>
        </w:tc>
        <w:tc>
          <w:tcPr>
            <w:tcW w:w="2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189,429</w:t>
            </w:r>
          </w:p>
        </w:tc>
        <w:tc>
          <w:tcPr>
            <w:tcW w:w="1420" w:type="dxa"/>
            <w:vAlign w:val="bottom"/>
            <w:gridSpan w:val="3"/>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13,112</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5,753,859</w:t>
            </w:r>
          </w:p>
        </w:tc>
        <w:tc>
          <w:tcPr>
            <w:tcW w:w="0" w:type="dxa"/>
            <w:vAlign w:val="bottom"/>
          </w:tcPr>
          <w:p>
            <w:pPr>
              <w:spacing w:after="0"/>
              <w:rPr>
                <w:sz w:val="1"/>
                <w:szCs w:val="1"/>
                <w:color w:val="auto"/>
              </w:rPr>
            </w:pPr>
          </w:p>
        </w:tc>
      </w:tr>
      <w:tr>
        <w:trPr>
          <w:trHeight w:val="215"/>
        </w:trPr>
        <w:tc>
          <w:tcPr>
            <w:tcW w:w="20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552,206</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286,878</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713,604</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471,838</w:t>
            </w:r>
          </w:p>
        </w:tc>
        <w:tc>
          <w:tcPr>
            <w:tcW w:w="12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2,024,526</w:t>
            </w:r>
          </w:p>
        </w:tc>
        <w:tc>
          <w:tcPr>
            <w:tcW w:w="0" w:type="dxa"/>
            <w:vAlign w:val="bottom"/>
          </w:tcPr>
          <w:p>
            <w:pPr>
              <w:spacing w:after="0"/>
              <w:rPr>
                <w:sz w:val="1"/>
                <w:szCs w:val="1"/>
                <w:color w:val="auto"/>
              </w:rPr>
            </w:pPr>
          </w:p>
        </w:tc>
      </w:tr>
      <w:tr>
        <w:trPr>
          <w:trHeight w:val="197"/>
        </w:trPr>
        <w:tc>
          <w:tcPr>
            <w:tcW w:w="2060" w:type="dxa"/>
            <w:vAlign w:val="bottom"/>
          </w:tcPr>
          <w:p>
            <w:pPr>
              <w:spacing w:after="0" w:line="197" w:lineRule="exact"/>
              <w:rPr>
                <w:sz w:val="20"/>
                <w:szCs w:val="20"/>
                <w:color w:val="auto"/>
              </w:rPr>
            </w:pPr>
            <w:r>
              <w:rPr>
                <w:rFonts w:ascii="Times New Roman" w:cs="Times New Roman" w:eastAsia="Times New Roman" w:hAnsi="Times New Roman"/>
                <w:sz w:val="18"/>
                <w:szCs w:val="18"/>
                <w:color w:val="auto"/>
              </w:rPr>
              <w:t>Lekhram Changoer</w:t>
            </w:r>
          </w:p>
        </w:tc>
        <w:tc>
          <w:tcPr>
            <w:tcW w:w="960" w:type="dxa"/>
            <w:vAlign w:val="bottom"/>
            <w:gridSpan w:val="2"/>
          </w:tcPr>
          <w:p>
            <w:pPr>
              <w:ind w:left="360"/>
              <w:spacing w:after="0" w:line="197" w:lineRule="exact"/>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17"/>
                <w:szCs w:val="17"/>
                <w:color w:val="auto"/>
              </w:rPr>
            </w:pPr>
          </w:p>
        </w:tc>
        <w:tc>
          <w:tcPr>
            <w:tcW w:w="1100" w:type="dxa"/>
            <w:vAlign w:val="bottom"/>
            <w:gridSpan w:val="2"/>
          </w:tcPr>
          <w:p>
            <w:pPr>
              <w:jc w:val="right"/>
              <w:ind w:right="220"/>
              <w:spacing w:after="0" w:line="197" w:lineRule="exact"/>
              <w:rPr>
                <w:sz w:val="20"/>
                <w:szCs w:val="20"/>
                <w:color w:val="auto"/>
              </w:rPr>
            </w:pPr>
            <w:r>
              <w:rPr>
                <w:rFonts w:ascii="Times New Roman" w:cs="Times New Roman" w:eastAsia="Times New Roman" w:hAnsi="Times New Roman"/>
                <w:sz w:val="18"/>
                <w:szCs w:val="18"/>
                <w:color w:val="auto"/>
              </w:rPr>
              <w:t>137,645</w:t>
            </w:r>
          </w:p>
        </w:tc>
        <w:tc>
          <w:tcPr>
            <w:tcW w:w="88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900" w:type="dxa"/>
            <w:vAlign w:val="bottom"/>
          </w:tcPr>
          <w:p>
            <w:pPr>
              <w:jc w:val="right"/>
              <w:spacing w:after="0" w:line="197"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980" w:type="dxa"/>
            <w:vAlign w:val="bottom"/>
            <w:gridSpan w:val="2"/>
          </w:tcPr>
          <w:p>
            <w:pPr>
              <w:jc w:val="right"/>
              <w:ind w:right="120"/>
              <w:spacing w:after="0" w:line="197"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17"/>
                <w:szCs w:val="17"/>
                <w:color w:val="auto"/>
              </w:rPr>
            </w:pPr>
          </w:p>
        </w:tc>
        <w:tc>
          <w:tcPr>
            <w:tcW w:w="1320" w:type="dxa"/>
            <w:vAlign w:val="bottom"/>
            <w:gridSpan w:val="2"/>
          </w:tcPr>
          <w:p>
            <w:pPr>
              <w:jc w:val="right"/>
              <w:ind w:right="220"/>
              <w:spacing w:after="0" w:line="197"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line="197" w:lineRule="exact"/>
              <w:rPr>
                <w:sz w:val="20"/>
                <w:szCs w:val="20"/>
                <w:color w:val="auto"/>
              </w:rPr>
            </w:pPr>
            <w:r>
              <w:rPr>
                <w:rFonts w:ascii="Times New Roman" w:cs="Times New Roman" w:eastAsia="Times New Roman" w:hAnsi="Times New Roman"/>
                <w:sz w:val="18"/>
                <w:szCs w:val="18"/>
                <w:color w:val="auto"/>
              </w:rPr>
              <w:t>137,645</w:t>
            </w:r>
          </w:p>
        </w:tc>
        <w:tc>
          <w:tcPr>
            <w:tcW w:w="0" w:type="dxa"/>
            <w:vAlign w:val="bottom"/>
          </w:tcPr>
          <w:p>
            <w:pPr>
              <w:spacing w:after="0"/>
              <w:rPr>
                <w:sz w:val="1"/>
                <w:szCs w:val="1"/>
                <w:color w:val="auto"/>
              </w:rPr>
            </w:pPr>
          </w:p>
        </w:tc>
      </w:tr>
      <w:tr>
        <w:trPr>
          <w:trHeight w:val="234"/>
        </w:trPr>
        <w:tc>
          <w:tcPr>
            <w:tcW w:w="2060" w:type="dxa"/>
            <w:vAlign w:val="bottom"/>
          </w:tcPr>
          <w:p>
            <w:pPr>
              <w:spacing w:after="0"/>
              <w:rPr>
                <w:sz w:val="20"/>
                <w:szCs w:val="20"/>
                <w:color w:val="auto"/>
              </w:rPr>
            </w:pPr>
          </w:p>
        </w:tc>
        <w:tc>
          <w:tcPr>
            <w:tcW w:w="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106,061</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106,061</w:t>
            </w:r>
          </w:p>
        </w:tc>
        <w:tc>
          <w:tcPr>
            <w:tcW w:w="0" w:type="dxa"/>
            <w:vAlign w:val="bottom"/>
          </w:tcPr>
          <w:p>
            <w:pPr>
              <w:spacing w:after="0"/>
              <w:rPr>
                <w:sz w:val="1"/>
                <w:szCs w:val="1"/>
                <w:color w:val="auto"/>
              </w:rPr>
            </w:pPr>
          </w:p>
        </w:tc>
      </w:tr>
      <w:tr>
        <w:trPr>
          <w:trHeight w:val="256"/>
        </w:trPr>
        <w:tc>
          <w:tcPr>
            <w:tcW w:w="20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Joseph Swan</w:t>
            </w:r>
            <w:r>
              <w:rPr>
                <w:rFonts w:ascii="Times New Roman" w:cs="Times New Roman" w:eastAsia="Times New Roman" w:hAnsi="Times New Roman"/>
                <w:sz w:val="29"/>
                <w:szCs w:val="29"/>
                <w:color w:val="auto"/>
                <w:vertAlign w:val="superscript"/>
              </w:rPr>
              <w:t>(3)</w:t>
            </w:r>
          </w:p>
        </w:tc>
        <w:tc>
          <w:tcPr>
            <w:tcW w:w="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107,940</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26,873</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64,663</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8,417</w:t>
            </w:r>
          </w:p>
        </w:tc>
        <w:tc>
          <w:tcPr>
            <w:tcW w:w="12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207,893</w:t>
            </w:r>
          </w:p>
        </w:tc>
        <w:tc>
          <w:tcPr>
            <w:tcW w:w="0" w:type="dxa"/>
            <w:vAlign w:val="bottom"/>
          </w:tcPr>
          <w:p>
            <w:pPr>
              <w:spacing w:after="0"/>
              <w:rPr>
                <w:sz w:val="1"/>
                <w:szCs w:val="1"/>
                <w:color w:val="auto"/>
              </w:rPr>
            </w:pPr>
          </w:p>
        </w:tc>
      </w:tr>
      <w:tr>
        <w:trPr>
          <w:trHeight w:val="215"/>
        </w:trPr>
        <w:tc>
          <w:tcPr>
            <w:tcW w:w="20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85,211</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10,943</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35,965</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24,199</w:t>
            </w:r>
          </w:p>
        </w:tc>
        <w:tc>
          <w:tcPr>
            <w:tcW w:w="120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158,652</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460" w:right="80" w:hanging="452"/>
        <w:spacing w:after="0" w:line="268" w:lineRule="auto"/>
        <w:tabs>
          <w:tab w:leader="none" w:pos="46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reported in the “Stock Awards” and “Option Awards” column represent the aggregate grant date fair value of the stock options awarded to our named executive officers during the applicable fiscal year, calculated in accordance with Financial Accounting Standards Board (“FASB”) ASC Topic 718. The assumptions used in calculating the grant date fair value of the awards reported in this column are set forth in Note 12 – “Stock-based payments” of the “Notes to Consolidated Financial Statements” in this Annual Report. The amounts reported in these columns reflect the accounting cost for the stock awards and stock options and do not reflect the actual economic value that will be realized by the individual upon the vesting of the stock awards and stock options, and the exercise of the stock options or the sale of the common stock underlying such awards.</w:t>
      </w:r>
    </w:p>
    <w:p>
      <w:pPr>
        <w:spacing w:after="0" w:line="1" w:lineRule="exact"/>
        <w:rPr>
          <w:rFonts w:ascii="Times New Roman" w:cs="Times New Roman" w:eastAsia="Times New Roman" w:hAnsi="Times New Roman"/>
          <w:sz w:val="17"/>
          <w:szCs w:val="17"/>
          <w:color w:val="auto"/>
        </w:rPr>
      </w:pPr>
    </w:p>
    <w:p>
      <w:pPr>
        <w:jc w:val="both"/>
        <w:ind w:left="460" w:right="80" w:hanging="452"/>
        <w:spacing w:after="0" w:line="249" w:lineRule="auto"/>
        <w:tabs>
          <w:tab w:leader="none" w:pos="4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reported in the “All Other Compensation” column includes $13,112 for Mr. Latham’s car allowance. The amount presented in this table does not include fees paid in connection with Mr. Latham’s board service, which is presented in the table below, and also does not include Australian post-employment benefits.</w:t>
      </w:r>
    </w:p>
    <w:p>
      <w:pPr>
        <w:spacing w:after="0" w:line="2"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does not include Australian post-employment benefits.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Base Salary</w:t>
      </w:r>
    </w:p>
    <w:p>
      <w:pPr>
        <w:spacing w:after="0" w:line="226" w:lineRule="exact"/>
        <w:rPr>
          <w:sz w:val="20"/>
          <w:szCs w:val="20"/>
          <w:color w:val="auto"/>
        </w:rPr>
      </w:pPr>
    </w:p>
    <w:p>
      <w:pPr>
        <w:ind w:right="120" w:firstLine="646"/>
        <w:spacing w:after="0" w:line="265" w:lineRule="auto"/>
        <w:rPr>
          <w:sz w:val="20"/>
          <w:szCs w:val="20"/>
          <w:color w:val="auto"/>
        </w:rPr>
      </w:pPr>
      <w:r>
        <w:rPr>
          <w:rFonts w:ascii="Times New Roman" w:cs="Times New Roman" w:eastAsia="Times New Roman" w:hAnsi="Times New Roman"/>
          <w:sz w:val="18"/>
          <w:szCs w:val="18"/>
          <w:color w:val="auto"/>
        </w:rPr>
        <w:t>The base salaries of our named executive officers are subject to adjustment and generally determined and approved by our board of directors. The fiscal year ended June 30, 2024 base salaries of each of our named executive officers are described under the subsection titled “Employment and Service Agreements with our Named Executive Officers” below.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Non-Equity Incentive Compensation</w:t>
      </w:r>
    </w:p>
    <w:p>
      <w:pPr>
        <w:spacing w:after="0" w:line="226" w:lineRule="exact"/>
        <w:rPr>
          <w:sz w:val="20"/>
          <w:szCs w:val="20"/>
          <w:color w:val="auto"/>
        </w:rPr>
      </w:pPr>
    </w:p>
    <w:p>
      <w:pPr>
        <w:ind w:right="200" w:firstLine="646"/>
        <w:spacing w:after="0" w:line="256" w:lineRule="auto"/>
        <w:rPr>
          <w:sz w:val="20"/>
          <w:szCs w:val="20"/>
          <w:color w:val="auto"/>
        </w:rPr>
      </w:pPr>
      <w:r>
        <w:rPr>
          <w:rFonts w:ascii="Times New Roman" w:cs="Times New Roman" w:eastAsia="Times New Roman" w:hAnsi="Times New Roman"/>
          <w:sz w:val="18"/>
          <w:szCs w:val="18"/>
          <w:color w:val="auto"/>
        </w:rPr>
        <w:t>In addition to base salaries, our named executive officers are eligible to receive annual performance-based cash bonuses, which are designed to provide appropriate incentives to our executives to achieve annual corporate goals and to reward our executives for individual achievement towards these goals. The annual performance-based bonus each named executive officer is eligible to receive is based on the extent to which we achieve the corporate goals that our board of directors establishes each year and each executive’s individual performance. At the end of the year, our board of directors reviews our performance against each corporate goal and determines the extent to which we achieved each of our corporate goals and evaluates each individual’s performance.</w:t>
      </w:r>
    </w:p>
    <w:p>
      <w:pPr>
        <w:spacing w:after="0" w:line="184" w:lineRule="exact"/>
        <w:rPr>
          <w:sz w:val="20"/>
          <w:szCs w:val="20"/>
          <w:color w:val="auto"/>
        </w:rPr>
      </w:pPr>
    </w:p>
    <w:p>
      <w:pPr>
        <w:ind w:right="40" w:firstLine="646"/>
        <w:spacing w:after="0" w:line="311" w:lineRule="auto"/>
        <w:rPr>
          <w:sz w:val="20"/>
          <w:szCs w:val="20"/>
          <w:color w:val="auto"/>
        </w:rPr>
      </w:pPr>
      <w:r>
        <w:rPr>
          <w:rFonts w:ascii="Times New Roman" w:cs="Times New Roman" w:eastAsia="Times New Roman" w:hAnsi="Times New Roman"/>
          <w:sz w:val="17"/>
          <w:szCs w:val="17"/>
          <w:color w:val="auto"/>
        </w:rPr>
        <w:t>The corporate goals our board of directors established for the fiscal year ended June 30, 2023 related to regulatory, clinical and development goals, as well as operational objectives. Bonuses are usually determined at the end of the fiscal year and paid in the first quarter of the following fiscal year.</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Awards</w:t>
      </w:r>
    </w:p>
    <w:p>
      <w:pPr>
        <w:spacing w:after="0" w:line="226" w:lineRule="exact"/>
        <w:rPr>
          <w:sz w:val="20"/>
          <w:szCs w:val="20"/>
          <w:color w:val="auto"/>
        </w:rPr>
      </w:pPr>
    </w:p>
    <w:p>
      <w:pPr>
        <w:jc w:val="both"/>
        <w:ind w:right="60" w:firstLine="646"/>
        <w:spacing w:after="0" w:line="265" w:lineRule="auto"/>
        <w:rPr>
          <w:sz w:val="20"/>
          <w:szCs w:val="20"/>
          <w:color w:val="auto"/>
        </w:rPr>
      </w:pPr>
      <w:r>
        <w:rPr>
          <w:rFonts w:ascii="Times New Roman" w:cs="Times New Roman" w:eastAsia="Times New Roman" w:hAnsi="Times New Roman"/>
          <w:sz w:val="18"/>
          <w:szCs w:val="18"/>
          <w:color w:val="auto"/>
        </w:rPr>
        <w:t>We use stock-based awards to promote our interests by providing the executives with the opportunity to acquire equity interests as an incentive for their remaining in our service and aligning the executives’ interests with those of the Company. Stock-based awards are awarded under the 2023 Incentive Equity Plan (the “2023 Plan”).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2024 Fiscal Year-End</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information regarding the outstanding equity awards held by each of our named executive officers as of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60" w:type="dxa"/>
            <w:vAlign w:val="bottom"/>
            <w:gridSpan w:val="5"/>
          </w:tcPr>
          <w:p>
            <w:pPr>
              <w:ind w:left="74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60" w:type="dxa"/>
            <w:vAlign w:val="bottom"/>
            <w:gridSpan w:val="4"/>
          </w:tcPr>
          <w:p>
            <w:pPr>
              <w:ind w:left="700"/>
              <w:spacing w:after="0"/>
              <w:rPr>
                <w:sz w:val="20"/>
                <w:szCs w:val="20"/>
                <w:color w:val="auto"/>
              </w:rPr>
            </w:pPr>
            <w:r>
              <w:rPr>
                <w:rFonts w:ascii="Times New Roman" w:cs="Times New Roman" w:eastAsia="Times New Roman" w:hAnsi="Times New Roman"/>
                <w:sz w:val="18"/>
                <w:szCs w:val="18"/>
                <w:b w:val="1"/>
                <w:bCs w:val="1"/>
                <w:color w:val="auto"/>
              </w:rPr>
              <w:t>Stock Awards</w:t>
            </w:r>
          </w:p>
        </w:tc>
      </w:tr>
      <w:tr>
        <w:trPr>
          <w:trHeight w:val="193"/>
        </w:trPr>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b w:val="1"/>
                <w:bCs w:val="1"/>
                <w:color w:val="auto"/>
                <w:w w:val="98"/>
              </w:rPr>
              <w:t>Market Value</w:t>
            </w:r>
          </w:p>
        </w:tc>
        <w:tc>
          <w:tcPr>
            <w:tcW w:w="100" w:type="dxa"/>
            <w:vAlign w:val="bottom"/>
          </w:tcPr>
          <w:p>
            <w:pPr>
              <w:spacing w:after="0"/>
              <w:rPr>
                <w:sz w:val="16"/>
                <w:szCs w:val="16"/>
                <w:color w:val="auto"/>
              </w:rPr>
            </w:pPr>
          </w:p>
        </w:tc>
      </w:tr>
      <w:tr>
        <w:trPr>
          <w:trHeight w:val="215"/>
        </w:trPr>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3"/>
              </w:rPr>
              <w:t>of</w:t>
            </w:r>
          </w:p>
        </w:tc>
      </w:tr>
      <w:tr>
        <w:trPr>
          <w:trHeight w:val="215"/>
        </w:trPr>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 or</w:t>
            </w:r>
          </w:p>
        </w:tc>
      </w:tr>
      <w:tr>
        <w:trPr>
          <w:trHeight w:val="215"/>
        </w:trPr>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 or</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units of</w:t>
            </w:r>
          </w:p>
        </w:tc>
      </w:tr>
      <w:tr>
        <w:trPr>
          <w:trHeight w:val="215"/>
        </w:trPr>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60" w:type="dxa"/>
            <w:vAlign w:val="bottom"/>
          </w:tcPr>
          <w:p>
            <w:pPr>
              <w:spacing w:after="0"/>
              <w:rPr>
                <w:sz w:val="18"/>
                <w:szCs w:val="18"/>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units</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stock that</w:t>
            </w:r>
          </w:p>
        </w:tc>
      </w:tr>
      <w:tr>
        <w:trPr>
          <w:trHeight w:val="215"/>
        </w:trPr>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Unexercised</w:t>
            </w: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of stock that</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have</w:t>
            </w:r>
          </w:p>
        </w:tc>
      </w:tr>
      <w:tr>
        <w:trPr>
          <w:trHeight w:val="215"/>
        </w:trPr>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Grant</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60" w:type="dxa"/>
            <w:vAlign w:val="bottom"/>
          </w:tcPr>
          <w:p>
            <w:pPr>
              <w:spacing w:after="0"/>
              <w:rPr>
                <w:sz w:val="18"/>
                <w:szCs w:val="18"/>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have not</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not vested</w:t>
            </w:r>
          </w:p>
        </w:tc>
      </w:tr>
      <w:tr>
        <w:trPr>
          <w:trHeight w:val="245"/>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Unexercisable</w:t>
            </w:r>
          </w:p>
        </w:tc>
        <w:tc>
          <w:tcPr>
            <w:tcW w:w="160" w:type="dxa"/>
            <w:vAlign w:val="bottom"/>
          </w:tcPr>
          <w:p>
            <w:pPr>
              <w:spacing w:after="0"/>
              <w:rPr>
                <w:sz w:val="21"/>
                <w:szCs w:val="21"/>
                <w:color w:val="auto"/>
              </w:rPr>
            </w:pPr>
          </w:p>
        </w:tc>
        <w:tc>
          <w:tcPr>
            <w:tcW w:w="9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vested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w:t>
            </w:r>
          </w:p>
        </w:tc>
        <w:tc>
          <w:tcPr>
            <w:tcW w:w="100" w:type="dxa"/>
            <w:vAlign w:val="bottom"/>
          </w:tcPr>
          <w:p>
            <w:pPr>
              <w:spacing w:after="0"/>
              <w:rPr>
                <w:sz w:val="21"/>
                <w:szCs w:val="21"/>
                <w:color w:val="auto"/>
              </w:rPr>
            </w:pPr>
          </w:p>
        </w:tc>
      </w:tr>
      <w:tr>
        <w:trPr>
          <w:trHeight w:val="215"/>
        </w:trPr>
        <w:tc>
          <w:tcPr>
            <w:tcW w:w="18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Latham</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11/28/23</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6/30/2025</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11/28/23</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7,500</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3.29</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6/30/2026</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11/28/23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7,500</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3.29</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6/30/2027</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11/28/23</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7,500</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3.29</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6/30/2026</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11/28/23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7,500</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3.29</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6/30/2027</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11/28/23</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7,500</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3.29</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6/30/2028</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11/28/23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9,334</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17.10</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7/1/2025</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11/28/23</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9,334</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20.39</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7/1/2026</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11/28/23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9,334</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23.02</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7/1/2027</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11/28/23</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9,334</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17.10</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7/1/2026</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11/28/23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9,334</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20.39</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7/1/2027</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11/28/23</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9,334(2)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23.02</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7/1/2028</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11/28/23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15,833</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16.44</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4/30/2026</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12/13/23</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335,000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1,373,500</w:t>
            </w:r>
          </w:p>
        </w:tc>
      </w:tr>
      <w:tr>
        <w:trPr>
          <w:trHeight w:val="215"/>
        </w:trPr>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5"/>
        </w:trPr>
        <w:tc>
          <w:tcPr>
            <w:tcW w:w="1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Lekhram Changoer</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Swan</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11/28/23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17.10</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7/1/2025</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11/28/23</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20.39</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7/1/2026</w:t>
            </w:r>
          </w:p>
        </w:tc>
        <w:tc>
          <w:tcPr>
            <w:tcW w:w="1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11/28/23</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 (3)</w:t>
            </w:r>
          </w:p>
        </w:tc>
        <w:tc>
          <w:tcPr>
            <w:tcW w:w="1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23.02</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7/1/2027</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05/06/24</w:t>
            </w:r>
          </w:p>
        </w:tc>
        <w:tc>
          <w:tcPr>
            <w:tcW w:w="10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33,862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133,332</w:t>
            </w:r>
          </w:p>
        </w:tc>
      </w:tr>
    </w:tbl>
    <w:p>
      <w:pPr>
        <w:spacing w:after="0" w:line="179" w:lineRule="exact"/>
        <w:rPr>
          <w:sz w:val="20"/>
          <w:szCs w:val="20"/>
          <w:color w:val="auto"/>
        </w:rPr>
      </w:pPr>
    </w:p>
    <w:p>
      <w:pPr>
        <w:ind w:left="340" w:hanging="332"/>
        <w:spacing w:after="0"/>
        <w:tabs>
          <w:tab w:leader="none" w:pos="3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value of the stock awards is based on the closing price of our Common Stock of $2.94 per share on June 28, 2024.</w:t>
      </w:r>
    </w:p>
    <w:p>
      <w:pPr>
        <w:spacing w:after="0" w:line="2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on November 28, 2023. Vesting to occur on June 30, 2025, provided Mr. Latham is still employed on such date.</w:t>
      </w:r>
    </w:p>
    <w:p>
      <w:pPr>
        <w:spacing w:after="0" w:line="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on November 28, 2023. Vested on July 1, 2024.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and Service Agreements with Our Executive Officers</w:t>
      </w:r>
    </w:p>
    <w:p>
      <w:pPr>
        <w:spacing w:after="0" w:line="228" w:lineRule="exact"/>
        <w:rPr>
          <w:sz w:val="20"/>
          <w:szCs w:val="20"/>
          <w:color w:val="auto"/>
        </w:rPr>
      </w:pPr>
    </w:p>
    <w:p>
      <w:pPr>
        <w:ind w:right="280" w:firstLine="646"/>
        <w:spacing w:after="0" w:line="260" w:lineRule="auto"/>
        <w:rPr>
          <w:sz w:val="20"/>
          <w:szCs w:val="20"/>
          <w:color w:val="auto"/>
        </w:rPr>
      </w:pPr>
      <w:r>
        <w:rPr>
          <w:rFonts w:ascii="Times New Roman" w:cs="Times New Roman" w:eastAsia="Times New Roman" w:hAnsi="Times New Roman"/>
          <w:sz w:val="18"/>
          <w:szCs w:val="18"/>
          <w:color w:val="auto"/>
        </w:rPr>
        <w:t>We have entered into employment and service agreements with certain of our executive officers, including our named executive officers, which govern the terms of their employment and service with us. Regardless of the manner in which our named executive officers’ employment or service terminates, they are entitled to receive certain accrued amounts previously earned during their term of employment or service, including unpaid salary, reimbursement of expenses owed, and accrued but unpaid paid time off and any continuation of benefits required by applicable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Joel Latham</w:t>
      </w:r>
    </w:p>
    <w:p>
      <w:pPr>
        <w:spacing w:after="0" w:line="226" w:lineRule="exact"/>
        <w:rPr>
          <w:sz w:val="20"/>
          <w:szCs w:val="20"/>
          <w:color w:val="auto"/>
        </w:rPr>
      </w:pPr>
    </w:p>
    <w:p>
      <w:pPr>
        <w:ind w:right="200" w:firstLine="646"/>
        <w:spacing w:after="0" w:line="281" w:lineRule="auto"/>
        <w:rPr>
          <w:sz w:val="20"/>
          <w:szCs w:val="20"/>
          <w:color w:val="auto"/>
        </w:rPr>
      </w:pPr>
      <w:r>
        <w:rPr>
          <w:rFonts w:ascii="Times New Roman" w:cs="Times New Roman" w:eastAsia="Times New Roman" w:hAnsi="Times New Roman"/>
          <w:sz w:val="18"/>
          <w:szCs w:val="18"/>
          <w:color w:val="auto"/>
        </w:rPr>
        <w:t>We entered into an employment agreement with Mr. Joel Latham on July 1, 2020. The employment agreement has no fixed term. Each party can terminate at will by giving three months’ notice. However, if the termination is for cause, no notice is required.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21" w:name="page122"/>
    <w:bookmarkEnd w:id="121"/>
    <w:p>
      <w:pPr>
        <w:ind w:right="120" w:firstLine="646"/>
        <w:spacing w:after="0" w:line="274" w:lineRule="auto"/>
        <w:rPr>
          <w:sz w:val="20"/>
          <w:szCs w:val="20"/>
          <w:color w:val="auto"/>
        </w:rPr>
      </w:pPr>
      <w:r>
        <w:rPr>
          <w:rFonts w:ascii="Times New Roman" w:cs="Times New Roman" w:eastAsia="Times New Roman" w:hAnsi="Times New Roman"/>
          <w:sz w:val="17"/>
          <w:szCs w:val="17"/>
          <w:color w:val="auto"/>
        </w:rPr>
        <w:t>Pursuant to the terms of the employment agreement, Mr. Latham’s initial annual base salary was US$230,000. Effective July 1, 2022, Mr. Latham’s annual base salary was increased to US$550,000. Effective July 1, 2023, Mr. Latham’s current annual base salary was increased to US$588,000. Mr. Latham is eligible to receive an annual target bonus at the discretion of the Board our board of directors in an amount up to 50% of his base salary. In June 2023, Mr. Latham received a cash bonus of US$275,000. Mr. Latham’s employment agreement provides that the Company will pay superannuation payments under Australian law for his role as executive officer. The employment agreement also provides that Mr. Latham will receive US$95,000 as fees for his role as director. Pursuant to the employment agreement, Mr. Latham is also entitled to a vehicle allowance of approximately US$14,408 per year.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Lekhram Changoer</w:t>
      </w:r>
    </w:p>
    <w:p>
      <w:pPr>
        <w:spacing w:after="0" w:line="226" w:lineRule="exact"/>
        <w:rPr>
          <w:sz w:val="20"/>
          <w:szCs w:val="20"/>
          <w:color w:val="auto"/>
        </w:rPr>
      </w:pPr>
    </w:p>
    <w:p>
      <w:pPr>
        <w:ind w:right="120" w:firstLine="646"/>
        <w:spacing w:after="0" w:line="265" w:lineRule="auto"/>
        <w:rPr>
          <w:sz w:val="20"/>
          <w:szCs w:val="20"/>
          <w:color w:val="auto"/>
        </w:rPr>
      </w:pPr>
      <w:r>
        <w:rPr>
          <w:rFonts w:ascii="Times New Roman" w:cs="Times New Roman" w:eastAsia="Times New Roman" w:hAnsi="Times New Roman"/>
          <w:sz w:val="18"/>
          <w:szCs w:val="18"/>
          <w:color w:val="auto"/>
        </w:rPr>
        <w:t>We entered into a service agreement with Mr. Lekhram Changoer on July 5, 2022. This service agreement has a one-year term as of October 10, 2022. Following such date, the agreement continues to be effective unless terminated by either party. Mr. Changoer may terminate the contract by giving a 21-day notice to the Company. We can terminate the contract immediately for cause.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Changoer is paid a base salary of approximately US$134,421 per year for services as Chief Technical Officer.</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Joseph Swan</w:t>
      </w:r>
    </w:p>
    <w:p>
      <w:pPr>
        <w:spacing w:after="0" w:line="226" w:lineRule="exact"/>
        <w:rPr>
          <w:sz w:val="20"/>
          <w:szCs w:val="20"/>
          <w:color w:val="auto"/>
        </w:rPr>
      </w:pPr>
    </w:p>
    <w:p>
      <w:pPr>
        <w:ind w:right="80" w:firstLine="646"/>
        <w:spacing w:after="0" w:line="257" w:lineRule="auto"/>
        <w:rPr>
          <w:sz w:val="20"/>
          <w:szCs w:val="20"/>
          <w:color w:val="auto"/>
        </w:rPr>
      </w:pPr>
      <w:r>
        <w:rPr>
          <w:rFonts w:ascii="Times New Roman" w:cs="Times New Roman" w:eastAsia="Times New Roman" w:hAnsi="Times New Roman"/>
          <w:sz w:val="18"/>
          <w:szCs w:val="18"/>
          <w:color w:val="auto"/>
        </w:rPr>
        <w:t>We entered into an employment agreement with Mr. Joseph Swan on February 27, 2024. Under the terms of his employment contract, Mr. Swan will receive an annual base salary of approximately US$133,148. Mr. Swan will also be eligible to receive an annual target bonus of up to 20% of his fixed salary, payable in cash, if certain short-term targets are met and up to a total value of approximately US$129,900 of shares of common stock of the Company if certain long-term targets are met. Mr. Swan’s employment contract has no fixed term and can be terminated at will by either party with three months’ notice or for cause by the Company.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401(k) Plan</w:t>
      </w:r>
    </w:p>
    <w:p>
      <w:pPr>
        <w:spacing w:after="0" w:line="228" w:lineRule="exact"/>
        <w:rPr>
          <w:sz w:val="20"/>
          <w:szCs w:val="20"/>
          <w:color w:val="auto"/>
        </w:rPr>
      </w:pPr>
    </w:p>
    <w:p>
      <w:pPr>
        <w:ind w:right="460" w:firstLine="646"/>
        <w:spacing w:after="0" w:line="281" w:lineRule="auto"/>
        <w:rPr>
          <w:sz w:val="20"/>
          <w:szCs w:val="20"/>
          <w:color w:val="auto"/>
        </w:rPr>
      </w:pPr>
      <w:r>
        <w:rPr>
          <w:rFonts w:ascii="Times New Roman" w:cs="Times New Roman" w:eastAsia="Times New Roman" w:hAnsi="Times New Roman"/>
          <w:sz w:val="18"/>
          <w:szCs w:val="18"/>
          <w:color w:val="auto"/>
        </w:rPr>
        <w:t>The Company does not sponsor, nor intend to sponsor in the foreseeable future, the participation of its employees in a plan established under subsection 401(k) of the U.S. Internal Revenue.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Recovery Policy</w:t>
      </w:r>
    </w:p>
    <w:p>
      <w:pPr>
        <w:spacing w:after="0" w:line="228" w:lineRule="exact"/>
        <w:rPr>
          <w:sz w:val="20"/>
          <w:szCs w:val="20"/>
          <w:color w:val="auto"/>
        </w:rPr>
      </w:pPr>
    </w:p>
    <w:p>
      <w:pPr>
        <w:ind w:right="520" w:firstLine="646"/>
        <w:spacing w:after="0" w:line="281" w:lineRule="auto"/>
        <w:rPr>
          <w:sz w:val="20"/>
          <w:szCs w:val="20"/>
          <w:color w:val="auto"/>
        </w:rPr>
      </w:pPr>
      <w:r>
        <w:rPr>
          <w:rFonts w:ascii="Times New Roman" w:cs="Times New Roman" w:eastAsia="Times New Roman" w:hAnsi="Times New Roman"/>
          <w:sz w:val="18"/>
          <w:szCs w:val="18"/>
          <w:color w:val="auto"/>
        </w:rPr>
        <w:t>On October 5, 2023, we adopted a policy on the recovery of erroneously awarded incentive compensation that is compliant with the Nasdaq Listing Rules. This policy is available on our website www.incannex.com under the “Corporate Governance” section of our website.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Change-In-Control</w:t>
      </w:r>
    </w:p>
    <w:p>
      <w:pPr>
        <w:spacing w:after="0" w:line="228" w:lineRule="exact"/>
        <w:rPr>
          <w:sz w:val="20"/>
          <w:szCs w:val="20"/>
          <w:color w:val="auto"/>
        </w:rPr>
      </w:pPr>
    </w:p>
    <w:p>
      <w:pPr>
        <w:ind w:right="120" w:firstLine="646"/>
        <w:spacing w:after="0" w:line="265" w:lineRule="auto"/>
        <w:rPr>
          <w:sz w:val="20"/>
          <w:szCs w:val="20"/>
          <w:color w:val="auto"/>
        </w:rPr>
      </w:pPr>
      <w:r>
        <w:rPr>
          <w:rFonts w:ascii="Times New Roman" w:cs="Times New Roman" w:eastAsia="Times New Roman" w:hAnsi="Times New Roman"/>
          <w:sz w:val="18"/>
          <w:szCs w:val="18"/>
          <w:color w:val="auto"/>
        </w:rPr>
        <w:t>Regardless of the manner in which our named executive officers’ employment or service terminates, they are entitled to receive certain accrued amounts previously earned during their term of employment or service, including unpaid salary, reimbursement of expenses owed, and accrued but unpaid paid time off and any continuation of benefits required by applicable law.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Lekhram Changoer</w:t>
      </w:r>
    </w:p>
    <w:p>
      <w:pPr>
        <w:spacing w:after="0" w:line="226" w:lineRule="exact"/>
        <w:rPr>
          <w:sz w:val="20"/>
          <w:szCs w:val="20"/>
          <w:color w:val="auto"/>
        </w:rPr>
      </w:pPr>
    </w:p>
    <w:p>
      <w:pPr>
        <w:ind w:firstLine="646"/>
        <w:spacing w:after="0" w:line="256" w:lineRule="auto"/>
        <w:rPr>
          <w:sz w:val="20"/>
          <w:szCs w:val="20"/>
          <w:color w:val="auto"/>
        </w:rPr>
      </w:pPr>
      <w:r>
        <w:rPr>
          <w:rFonts w:ascii="Times New Roman" w:cs="Times New Roman" w:eastAsia="Times New Roman" w:hAnsi="Times New Roman"/>
          <w:sz w:val="18"/>
          <w:szCs w:val="18"/>
          <w:color w:val="auto"/>
        </w:rPr>
        <w:t>Pursuant to the service agreement by and between the Company and Lekhram Changoer (the “Changoer Service Agreement”), the performance rights issued to Mr. Changoer will be immediately exercised and shares issued to him (i) upon the occurrence of a takeover bid, under which a bid to acquire all or some of the ordinary shares in the capital of the Company is approved by the directors of the Company and recommended to its stockholders that the takeover bid be accepted, (ii) if a court approves a scheme of arrangement, which would result in a person having a Relevant Interest (as defined in the Corporations Act 2001(Cth)) in more than 50% of the ordinary shares in the capital of the Company, or (iii) if the Company announced to the Australian Securities Exchange an intention to sell all or substantially all of its business undertakings or assets.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i w:val="1"/>
          <w:iCs w:val="1"/>
          <w:color w:val="auto"/>
        </w:rPr>
        <w:t>2023 Equity Incentive Plan</w:t>
      </w:r>
    </w:p>
    <w:p>
      <w:pPr>
        <w:spacing w:after="0" w:line="226" w:lineRule="exact"/>
        <w:rPr>
          <w:sz w:val="20"/>
          <w:szCs w:val="20"/>
          <w:color w:val="auto"/>
        </w:rPr>
      </w:pPr>
    </w:p>
    <w:p>
      <w:pPr>
        <w:ind w:right="40" w:firstLine="646"/>
        <w:spacing w:after="0" w:line="255" w:lineRule="auto"/>
        <w:rPr>
          <w:sz w:val="20"/>
          <w:szCs w:val="20"/>
          <w:color w:val="auto"/>
        </w:rPr>
      </w:pPr>
      <w:r>
        <w:rPr>
          <w:rFonts w:ascii="Times New Roman" w:cs="Times New Roman" w:eastAsia="Times New Roman" w:hAnsi="Times New Roman"/>
          <w:sz w:val="18"/>
          <w:szCs w:val="18"/>
          <w:color w:val="auto"/>
        </w:rPr>
        <w:t>In the event of a “change in control” of the Company, as defined in the 2023 Plan, then unless otherwise provided in an award agreement, the Committee (as defined in the 2023 Plan) may, in its sole discretion: (i) cancel awards for a cash payment equal to their fair value (as determined in the sole discretion of the Committee), (ii) provide for the issuance of replacement awards on substantially similar terms, (iii) terminate stock options without providing accelerated vesting, (iv) accelerate the exercisability or vesting of any Award (as defined in the 2023 Plan) or (v) take any other action with respect to the awards the Committee deems appropriate. The treatment of awards upon a change in control may vary among participants and types of awards in the Committee’s sole discretion. Awards subject to performance goals are required to be settled upon a “change in control” of the Company based upon the extent to which the performance goals underlying such awards have been achieved as determined in the sole discretion of the Committee.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8" w:lineRule="exact"/>
        <w:rPr>
          <w:sz w:val="20"/>
          <w:szCs w:val="20"/>
          <w:color w:val="auto"/>
        </w:rPr>
      </w:pPr>
    </w:p>
    <w:p>
      <w:pPr>
        <w:ind w:right="80" w:firstLine="646"/>
        <w:spacing w:after="0" w:line="256" w:lineRule="auto"/>
        <w:rPr>
          <w:sz w:val="20"/>
          <w:szCs w:val="20"/>
          <w:color w:val="auto"/>
        </w:rPr>
      </w:pPr>
      <w:r>
        <w:rPr>
          <w:rFonts w:ascii="Times New Roman" w:cs="Times New Roman" w:eastAsia="Times New Roman" w:hAnsi="Times New Roman"/>
          <w:sz w:val="18"/>
          <w:szCs w:val="18"/>
          <w:color w:val="auto"/>
        </w:rPr>
        <w:t xml:space="preserve">We pay directors’ fees to our directors for their service on our board of directors. We </w:t>
      </w:r>
      <w:r>
        <w:rPr>
          <w:rFonts w:ascii="Times New Roman" w:cs="Times New Roman" w:eastAsia="Times New Roman" w:hAnsi="Times New Roman"/>
          <w:sz w:val="18"/>
          <w:szCs w:val="18"/>
          <w:color w:val="212529"/>
        </w:rPr>
        <w:t>generally provide our non-employee directors with cash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 xml:space="preserve">equity compensation for their service on the </w:t>
      </w:r>
      <w:r>
        <w:rPr>
          <w:rFonts w:ascii="Times New Roman" w:cs="Times New Roman" w:eastAsia="Times New Roman" w:hAnsi="Times New Roman"/>
          <w:sz w:val="18"/>
          <w:szCs w:val="18"/>
          <w:color w:val="000000"/>
        </w:rPr>
        <w:t>board of directors</w:t>
      </w:r>
      <w:r>
        <w:rPr>
          <w:rFonts w:ascii="Times New Roman" w:cs="Times New Roman" w:eastAsia="Times New Roman" w:hAnsi="Times New Roman"/>
          <w:sz w:val="18"/>
          <w:szCs w:val="18"/>
          <w:color w:val="212529"/>
        </w:rPr>
        <w:t xml:space="preserve">. The </w:t>
      </w:r>
      <w:r>
        <w:rPr>
          <w:rFonts w:ascii="Times New Roman" w:cs="Times New Roman" w:eastAsia="Times New Roman" w:hAnsi="Times New Roman"/>
          <w:sz w:val="18"/>
          <w:szCs w:val="18"/>
          <w:color w:val="000000"/>
        </w:rPr>
        <w:t>board of directors</w:t>
      </w:r>
      <w:r>
        <w:rPr>
          <w:rFonts w:ascii="Times New Roman" w:cs="Times New Roman" w:eastAsia="Times New Roman" w:hAnsi="Times New Roman"/>
          <w:sz w:val="18"/>
          <w:szCs w:val="18"/>
          <w:color w:val="212529"/>
        </w:rPr>
        <w:t xml:space="preserve"> is responsible for considering and approving the compensation paid to our non-employee directors, upon recommendation from the Compensation Committee. </w:t>
      </w:r>
      <w:r>
        <w:rPr>
          <w:rFonts w:ascii="Times New Roman" w:cs="Times New Roman" w:eastAsia="Times New Roman" w:hAnsi="Times New Roman"/>
          <w:sz w:val="18"/>
          <w:szCs w:val="18"/>
          <w:color w:val="000000"/>
        </w:rPr>
        <w:t>We also have a policy of reimbursing all of our non-employee directors for their reasonable out-of-pocket expenses in connection with attending board and committee meetings. The directors’ compensation for their services on the board of directors is periodically reviewed by the Compensation Committee which may recommend changes to such compensation to the board of directors as appropriate.</w:t>
      </w:r>
    </w:p>
    <w:p>
      <w:pPr>
        <w:spacing w:after="0" w:line="184" w:lineRule="exact"/>
        <w:rPr>
          <w:sz w:val="20"/>
          <w:szCs w:val="20"/>
          <w:color w:val="auto"/>
        </w:rPr>
      </w:pPr>
    </w:p>
    <w:p>
      <w:pPr>
        <w:jc w:val="both"/>
        <w:ind w:right="180" w:firstLine="646"/>
        <w:spacing w:after="0" w:line="265"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earned with respect to the fiscal year ended June 30, 2024, by each individual who served as a director during such fiscal year. All compensation for Mr. Latham, Mr. Valentine and Mr. Widdows is paid in Australian dollars and then converted in US dollars for purposes of reporting. All compensation for Mr. Anastassov and Mr. Clark is paid in US dollars.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Nonqualified</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Fees Earned</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Non-equity</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deferred</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or Paid in</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Option</w:t>
            </w: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incentive plan</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All Other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Cash</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1"/>
                <w:szCs w:val="21"/>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5"/>
        </w:trPr>
        <w:tc>
          <w:tcPr>
            <w:tcW w:w="1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Joel Latham (2)</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2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5"/>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Troy Valentine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312,976</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2,477,681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94,715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2,885,372</w:t>
            </w:r>
          </w:p>
        </w:tc>
      </w:tr>
      <w:tr>
        <w:trPr>
          <w:trHeight w:val="215"/>
        </w:trPr>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Widdows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283,770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343,849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627,619</w:t>
            </w:r>
          </w:p>
        </w:tc>
      </w:tr>
      <w:tr>
        <w:trPr>
          <w:trHeight w:val="215"/>
        </w:trPr>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George Anastassov</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132,000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343,849</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475,849</w:t>
            </w:r>
          </w:p>
        </w:tc>
      </w:tr>
      <w:tr>
        <w:trPr>
          <w:trHeight w:val="215"/>
        </w:trPr>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Clark</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75,000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343,849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418,849</w:t>
            </w:r>
          </w:p>
        </w:tc>
      </w:tr>
    </w:tbl>
    <w:p>
      <w:pPr>
        <w:spacing w:after="0" w:line="197" w:lineRule="exact"/>
        <w:rPr>
          <w:sz w:val="20"/>
          <w:szCs w:val="20"/>
          <w:color w:val="auto"/>
        </w:rPr>
      </w:pPr>
    </w:p>
    <w:p>
      <w:pPr>
        <w:ind w:left="340" w:right="20" w:hanging="332"/>
        <w:spacing w:after="0" w:line="257"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“Stock Awards” and “Option Awards” column represent the aggregate grant date fair value of the stock options awarded to our named executive officers during the applicable fiscal year, calculated in accordance with Financial Accounting Standards Board (FASB), ASC Topic 718. The assumptions used in calculating the grant date fair value of the awards reported in this column are set forth in Note 12 – “Stock-based</w:t>
      </w:r>
    </w:p>
    <w:p>
      <w:pPr>
        <w:ind w:left="340" w:right="120"/>
        <w:spacing w:after="0" w:line="249" w:lineRule="auto"/>
        <w:rPr>
          <w:sz w:val="20"/>
          <w:szCs w:val="20"/>
          <w:color w:val="auto"/>
        </w:rPr>
      </w:pPr>
      <w:r>
        <w:rPr>
          <w:rFonts w:ascii="Times New Roman" w:cs="Times New Roman" w:eastAsia="Times New Roman" w:hAnsi="Times New Roman"/>
          <w:sz w:val="18"/>
          <w:szCs w:val="18"/>
          <w:color w:val="auto"/>
        </w:rPr>
        <w:t>payments” of the “Notes to Consolidated Financial Statements” in this Annual Report on Form 10-K. The amounts reported in these columns reflect the accounting cost for the stock awards and stock options and do not reflect the actual economic value that will be realized by the individual upon the vesting of the stock awards and stock options and the exercise of the stock options or the sale of the common stock underlying such awards.</w:t>
      </w:r>
    </w:p>
    <w:p>
      <w:pPr>
        <w:spacing w:after="0" w:line="2" w:lineRule="exact"/>
        <w:rPr>
          <w:sz w:val="20"/>
          <w:szCs w:val="20"/>
          <w:color w:val="auto"/>
        </w:rPr>
      </w:pPr>
    </w:p>
    <w:p>
      <w:pPr>
        <w:ind w:left="340" w:right="640" w:hanging="332"/>
        <w:spacing w:after="0" w:line="259" w:lineRule="auto"/>
        <w:tabs>
          <w:tab w:leader="none" w:pos="34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Latham served as our Chief Executive Officer during the fiscal year ended June 30, 2024; as such, his compensation earned as a director is disclosed in the Summary Compensation Table above.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8" w:lineRule="exact"/>
        <w:rPr>
          <w:sz w:val="20"/>
          <w:szCs w:val="20"/>
          <w:color w:val="auto"/>
        </w:rPr>
      </w:pPr>
    </w:p>
    <w:p>
      <w:pPr>
        <w:ind w:right="20" w:firstLine="646"/>
        <w:spacing w:after="0" w:line="256" w:lineRule="auto"/>
        <w:rPr>
          <w:sz w:val="20"/>
          <w:szCs w:val="20"/>
          <w:color w:val="auto"/>
        </w:rPr>
      </w:pPr>
      <w:r>
        <w:rPr>
          <w:rFonts w:ascii="Times New Roman" w:cs="Times New Roman" w:eastAsia="Times New Roman" w:hAnsi="Times New Roman"/>
          <w:sz w:val="18"/>
          <w:szCs w:val="18"/>
          <w:color w:val="auto"/>
        </w:rPr>
        <w:t>The number of shares beneficially owned by each stockholder is determined under rules issued by the SEC. Under these rules, beneficial ownership includes any shares as to which a person has sole or shared voting power or investment power. Applicable percentage ownership is based on 17,642,832 shares of common stock outstanding on July 31, 2024. In computing the number of shares beneficially owned by a person and the percentage ownership of that person, shares of common stock subject to options or other rights held by such person that are currently exercisable or that will become exercisable or otherwise vest within 60 days of July 31, 2024, are considered outstanding, although these shares are not considered outstanding for purposes of computing the percentage ownership of any other person.</w:t>
      </w:r>
    </w:p>
    <w:p>
      <w:pPr>
        <w:spacing w:after="0" w:line="184" w:lineRule="exact"/>
        <w:rPr>
          <w:sz w:val="20"/>
          <w:szCs w:val="20"/>
          <w:color w:val="auto"/>
        </w:rPr>
      </w:pPr>
    </w:p>
    <w:p>
      <w:pPr>
        <w:ind w:right="180" w:firstLine="646"/>
        <w:spacing w:after="0" w:line="281" w:lineRule="auto"/>
        <w:rPr>
          <w:sz w:val="20"/>
          <w:szCs w:val="20"/>
          <w:color w:val="auto"/>
        </w:rPr>
      </w:pPr>
      <w:r>
        <w:rPr>
          <w:rFonts w:ascii="Times New Roman" w:cs="Times New Roman" w:eastAsia="Times New Roman" w:hAnsi="Times New Roman"/>
          <w:sz w:val="18"/>
          <w:szCs w:val="18"/>
          <w:color w:val="auto"/>
        </w:rPr>
        <w:t>We believe, based on information provided to us, that each of the stockholders listed below has sole voting and investment power with respect to the shares beneficially owned by the stockholder unless noted otherwise, subject to community property laws where applicable.</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Amount and</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5"/>
        </w:trPr>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Nature of</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5"/>
        </w:trPr>
        <w:tc>
          <w:tcPr>
            <w:tcW w:w="8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Beneficial</w:t>
            </w:r>
          </w:p>
        </w:tc>
        <w:tc>
          <w:tcPr>
            <w:tcW w:w="12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Percent of</w:t>
            </w:r>
          </w:p>
        </w:tc>
      </w:tr>
      <w:tr>
        <w:trPr>
          <w:trHeight w:val="245"/>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2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Class</w:t>
            </w:r>
          </w:p>
        </w:tc>
      </w:tr>
      <w:tr>
        <w:trPr>
          <w:trHeight w:val="215"/>
        </w:trPr>
        <w:tc>
          <w:tcPr>
            <w:tcW w:w="8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Named Executive Officers and Directors</w:t>
            </w:r>
          </w:p>
        </w:tc>
        <w:tc>
          <w:tcPr>
            <w:tcW w:w="1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56"/>
        </w:trPr>
        <w:tc>
          <w:tcPr>
            <w:tcW w:w="86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Joel Latham</w:t>
            </w:r>
            <w:r>
              <w:rPr>
                <w:rFonts w:ascii="Times New Roman" w:cs="Times New Roman" w:eastAsia="Times New Roman" w:hAnsi="Times New Roman"/>
                <w:sz w:val="29"/>
                <w:szCs w:val="29"/>
                <w:color w:val="auto"/>
                <w:vertAlign w:val="superscript"/>
              </w:rPr>
              <w:t>(1)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1,684,988</w:t>
            </w:r>
          </w:p>
        </w:tc>
        <w:tc>
          <w:tcPr>
            <w:tcW w:w="2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9.55%</w:t>
            </w:r>
          </w:p>
        </w:tc>
      </w:tr>
      <w:tr>
        <w:trPr>
          <w:trHeight w:val="256"/>
        </w:trPr>
        <w:tc>
          <w:tcPr>
            <w:tcW w:w="86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Troy Valentine</w:t>
            </w:r>
            <w:r>
              <w:rPr>
                <w:rFonts w:ascii="Times New Roman" w:cs="Times New Roman" w:eastAsia="Times New Roman" w:hAnsi="Times New Roman"/>
                <w:sz w:val="29"/>
                <w:szCs w:val="29"/>
                <w:color w:val="auto"/>
                <w:vertAlign w:val="superscript"/>
              </w:rPr>
              <w:t>(2)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1,084,284</w:t>
            </w:r>
          </w:p>
        </w:tc>
        <w:tc>
          <w:tcPr>
            <w:tcW w:w="220" w:type="dxa"/>
            <w:vAlign w:val="bottom"/>
          </w:tcPr>
          <w:p>
            <w:pPr>
              <w:spacing w:after="0"/>
              <w:rPr>
                <w:sz w:val="22"/>
                <w:szCs w:val="22"/>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6.15%</w:t>
            </w:r>
          </w:p>
        </w:tc>
      </w:tr>
      <w:tr>
        <w:trPr>
          <w:trHeight w:val="256"/>
        </w:trPr>
        <w:tc>
          <w:tcPr>
            <w:tcW w:w="86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Peter Widdows</w:t>
            </w:r>
            <w:r>
              <w:rPr>
                <w:rFonts w:ascii="Times New Roman" w:cs="Times New Roman" w:eastAsia="Times New Roman" w:hAnsi="Times New Roman"/>
                <w:sz w:val="29"/>
                <w:szCs w:val="29"/>
                <w:color w:val="auto"/>
                <w:vertAlign w:val="superscript"/>
              </w:rPr>
              <w:t>(3)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281,897</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1.60%</w:t>
            </w:r>
          </w:p>
        </w:tc>
      </w:tr>
      <w:tr>
        <w:trPr>
          <w:trHeight w:val="256"/>
        </w:trPr>
        <w:tc>
          <w:tcPr>
            <w:tcW w:w="86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Dr. George Anastassov</w:t>
            </w:r>
            <w:r>
              <w:rPr>
                <w:rFonts w:ascii="Times New Roman" w:cs="Times New Roman" w:eastAsia="Times New Roman" w:hAnsi="Times New Roman"/>
                <w:sz w:val="29"/>
                <w:szCs w:val="29"/>
                <w:color w:val="auto"/>
                <w:vertAlign w:val="superscript"/>
              </w:rPr>
              <w:t>(4)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769,721</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4.36%</w:t>
            </w:r>
          </w:p>
        </w:tc>
      </w:tr>
      <w:tr>
        <w:trPr>
          <w:trHeight w:val="256"/>
        </w:trPr>
        <w:tc>
          <w:tcPr>
            <w:tcW w:w="86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Robert Clark</w:t>
            </w:r>
            <w:r>
              <w:rPr>
                <w:rFonts w:ascii="Times New Roman" w:cs="Times New Roman" w:eastAsia="Times New Roman" w:hAnsi="Times New Roman"/>
                <w:sz w:val="29"/>
                <w:szCs w:val="29"/>
                <w:color w:val="auto"/>
                <w:vertAlign w:val="superscript"/>
              </w:rPr>
              <w:t>(5)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150,000</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86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Lekhram Changoer</w:t>
            </w:r>
            <w:r>
              <w:rPr>
                <w:rFonts w:ascii="Times New Roman" w:cs="Times New Roman" w:eastAsia="Times New Roman" w:hAnsi="Times New Roman"/>
                <w:sz w:val="29"/>
                <w:szCs w:val="29"/>
                <w:color w:val="auto"/>
                <w:vertAlign w:val="superscript"/>
              </w:rPr>
              <w:t>(6)</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639,549</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3.63%</w:t>
            </w:r>
          </w:p>
        </w:tc>
      </w:tr>
      <w:tr>
        <w:trPr>
          <w:trHeight w:val="256"/>
        </w:trPr>
        <w:tc>
          <w:tcPr>
            <w:tcW w:w="862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Joseph Swan</w:t>
            </w:r>
            <w:r>
              <w:rPr>
                <w:rFonts w:ascii="Times New Roman" w:cs="Times New Roman" w:eastAsia="Times New Roman" w:hAnsi="Times New Roman"/>
                <w:sz w:val="29"/>
                <w:szCs w:val="29"/>
                <w:color w:val="auto"/>
                <w:vertAlign w:val="superscript"/>
              </w:rPr>
              <w:t>(7)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70,724</w:t>
            </w: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executive officers and directors as a group (7 persons)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4,681,163</w:t>
            </w:r>
          </w:p>
        </w:tc>
        <w:tc>
          <w:tcPr>
            <w:tcW w:w="22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26.53%</w:t>
            </w:r>
          </w:p>
        </w:tc>
      </w:tr>
    </w:tbl>
    <w:p>
      <w:pPr>
        <w:spacing w:after="0" w:line="17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Less than 1%.</w:t>
      </w:r>
    </w:p>
    <w:p>
      <w:pPr>
        <w:spacing w:after="0" w:line="224" w:lineRule="exact"/>
        <w:rPr>
          <w:sz w:val="20"/>
          <w:szCs w:val="20"/>
          <w:color w:val="auto"/>
        </w:rPr>
      </w:pPr>
    </w:p>
    <w:p>
      <w:pPr>
        <w:ind w:left="340" w:hanging="332"/>
        <w:spacing w:after="0"/>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Joel Latham owns 1,242,485 shares of common stock, 335,000 restricted shares and 107,503 shares of common stock underlying warrants.</w:t>
      </w:r>
    </w:p>
    <w:p>
      <w:pPr>
        <w:spacing w:after="0" w:line="223" w:lineRule="exact"/>
        <w:rPr>
          <w:rFonts w:ascii="Times New Roman" w:cs="Times New Roman" w:eastAsia="Times New Roman" w:hAnsi="Times New Roman"/>
          <w:sz w:val="18"/>
          <w:szCs w:val="18"/>
          <w:color w:val="auto"/>
        </w:rPr>
      </w:pPr>
    </w:p>
    <w:p>
      <w:pPr>
        <w:ind w:left="340" w:right="80" w:hanging="332"/>
        <w:spacing w:after="0" w:line="256" w:lineRule="auto"/>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Troy Valentine owns 531,750 shares of common stock in his own name. Troy Valentine also owns a 50% equity interest in Alignment Capital Pty Ltd, which owns 242,862 shares of common stock of Incannex. Troy Valentine is a director of Tranaj Nominees Pty Ltd, which owns 10,000 shares of common stock in Incannex. Troy Valentine is a director of Valplan Pty Ltd, which owns 30,000 shares of common stock in Incannex. Troy Valentine is a director and the sole shareholder of Cityside Pty Ltd, which owns 44,400 shares of common stock of Incannex. Troy Valentine is the beneficiary of the GFCR Investments Trust managed by Ekirtson Nominees Pty Ltd as trustee, which owns 10,000 shares of common stock in Incannex. Troy Valentine also owns 167,500 restricted shares and 47,772 shares of common stock underlying warrants.</w:t>
      </w:r>
    </w:p>
    <w:p>
      <w:pPr>
        <w:spacing w:after="0" w:line="1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Widdows owns 245,847 shares of common stock, 25,000 restricted shares and 11,050 shares of common stock underlying warrants.</w:t>
      </w:r>
    </w:p>
    <w:p>
      <w:pPr>
        <w:spacing w:after="0" w:line="22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George Anastassov owns 744,721 shares of common stock and 25,000 restricted shares.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1" w:right="339" w:bottom="1440" w:gutter="0" w:footer="0" w:header="0"/>
        </w:sectPr>
      </w:pPr>
    </w:p>
    <w:bookmarkStart w:id="124" w:name="page125"/>
    <w:bookmarkEnd w:id="124"/>
    <w:p>
      <w:pPr>
        <w:ind w:left="340" w:hanging="332"/>
        <w:spacing w:after="0"/>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Clark owns 75,000 shares of common stock, 25,000 restricted shares and 50,000 shares of common stock underlying warrants.</w:t>
      </w:r>
    </w:p>
    <w:p>
      <w:pPr>
        <w:spacing w:after="0" w:line="22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Lekhram Changoer owns 639,549 shares of common stock held by Prash BV, a company controlled by Mr. Changoer.</w:t>
      </w:r>
    </w:p>
    <w:p>
      <w:pPr>
        <w:spacing w:after="0" w:line="22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Joseph Swan owns 1,000 shares of common stock, 50,793 restricted shares and 2,000 shares of common stock underlying warrants.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8" w:lineRule="exact"/>
        <w:rPr>
          <w:sz w:val="20"/>
          <w:szCs w:val="20"/>
          <w:color w:val="auto"/>
        </w:rPr>
      </w:pPr>
    </w:p>
    <w:p>
      <w:pPr>
        <w:ind w:right="580" w:firstLine="646"/>
        <w:spacing w:after="0" w:line="281" w:lineRule="auto"/>
        <w:rPr>
          <w:sz w:val="20"/>
          <w:szCs w:val="20"/>
          <w:color w:val="auto"/>
        </w:rPr>
      </w:pPr>
      <w:r>
        <w:rPr>
          <w:rFonts w:ascii="Times New Roman" w:cs="Times New Roman" w:eastAsia="Times New Roman" w:hAnsi="Times New Roman"/>
          <w:sz w:val="18"/>
          <w:szCs w:val="18"/>
          <w:color w:val="auto"/>
        </w:rPr>
        <w:t>The table below sets forth information with respect to compensation plans under which equity securities of the Company are authorized for issuance as of June 30,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0" w:type="dxa"/>
            <w:vAlign w:val="bottom"/>
          </w:tcPr>
          <w:p>
            <w:pPr>
              <w:spacing w:after="0"/>
              <w:rPr>
                <w:sz w:val="1"/>
                <w:szCs w:val="1"/>
                <w:color w:val="auto"/>
              </w:rPr>
            </w:pPr>
          </w:p>
        </w:tc>
      </w:tr>
      <w:tr>
        <w:trPr>
          <w:trHeight w:val="215"/>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0" w:type="dxa"/>
            <w:vAlign w:val="bottom"/>
          </w:tcPr>
          <w:p>
            <w:pPr>
              <w:spacing w:after="0"/>
              <w:rPr>
                <w:sz w:val="1"/>
                <w:szCs w:val="1"/>
                <w:color w:val="auto"/>
              </w:rPr>
            </w:pPr>
          </w:p>
        </w:tc>
      </w:tr>
      <w:tr>
        <w:trPr>
          <w:trHeight w:val="215"/>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0" w:type="dxa"/>
            <w:vAlign w:val="bottom"/>
          </w:tcPr>
          <w:p>
            <w:pPr>
              <w:spacing w:after="0"/>
              <w:rPr>
                <w:sz w:val="1"/>
                <w:szCs w:val="1"/>
                <w:color w:val="auto"/>
              </w:rPr>
            </w:pPr>
          </w:p>
        </w:tc>
      </w:tr>
      <w:tr>
        <w:trPr>
          <w:trHeight w:val="215"/>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0" w:type="dxa"/>
            <w:vAlign w:val="bottom"/>
          </w:tcPr>
          <w:p>
            <w:pPr>
              <w:spacing w:after="0"/>
              <w:rPr>
                <w:sz w:val="1"/>
                <w:szCs w:val="1"/>
                <w:color w:val="auto"/>
              </w:rPr>
            </w:pPr>
          </w:p>
        </w:tc>
      </w:tr>
      <w:tr>
        <w:trPr>
          <w:trHeight w:val="184"/>
        </w:trPr>
        <w:tc>
          <w:tcPr>
            <w:tcW w:w="7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rPr>
              <w:t>available</w:t>
            </w:r>
          </w:p>
        </w:tc>
        <w:tc>
          <w:tcPr>
            <w:tcW w:w="0" w:type="dxa"/>
            <w:vAlign w:val="bottom"/>
          </w:tcPr>
          <w:p>
            <w:pPr>
              <w:spacing w:after="0"/>
              <w:rPr>
                <w:sz w:val="1"/>
                <w:szCs w:val="1"/>
                <w:color w:val="auto"/>
              </w:rPr>
            </w:pPr>
          </w:p>
        </w:tc>
      </w:tr>
      <w:tr>
        <w:trPr>
          <w:trHeight w:val="215"/>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for future</w:t>
            </w:r>
          </w:p>
        </w:tc>
        <w:tc>
          <w:tcPr>
            <w:tcW w:w="0" w:type="dxa"/>
            <w:vAlign w:val="bottom"/>
          </w:tcPr>
          <w:p>
            <w:pPr>
              <w:spacing w:after="0"/>
              <w:rPr>
                <w:sz w:val="1"/>
                <w:szCs w:val="1"/>
                <w:color w:val="auto"/>
              </w:rPr>
            </w:pPr>
          </w:p>
        </w:tc>
      </w:tr>
      <w:tr>
        <w:trPr>
          <w:trHeight w:val="215"/>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issuance</w:t>
            </w:r>
          </w:p>
        </w:tc>
        <w:tc>
          <w:tcPr>
            <w:tcW w:w="0" w:type="dxa"/>
            <w:vAlign w:val="bottom"/>
          </w:tcPr>
          <w:p>
            <w:pPr>
              <w:spacing w:after="0"/>
              <w:rPr>
                <w:sz w:val="1"/>
                <w:szCs w:val="1"/>
                <w:color w:val="auto"/>
              </w:rPr>
            </w:pPr>
          </w:p>
        </w:tc>
      </w:tr>
      <w:tr>
        <w:trPr>
          <w:trHeight w:val="215"/>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to be issued</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c>
          <w:tcPr>
            <w:tcW w:w="0" w:type="dxa"/>
            <w:vAlign w:val="bottom"/>
          </w:tcPr>
          <w:p>
            <w:pPr>
              <w:spacing w:after="0"/>
              <w:rPr>
                <w:sz w:val="1"/>
                <w:szCs w:val="1"/>
                <w:color w:val="auto"/>
              </w:rPr>
            </w:pPr>
          </w:p>
        </w:tc>
      </w:tr>
      <w:tr>
        <w:trPr>
          <w:trHeight w:val="215"/>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upon</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exercise price</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0" w:type="dxa"/>
            <w:vAlign w:val="bottom"/>
          </w:tcPr>
          <w:p>
            <w:pPr>
              <w:spacing w:after="0"/>
              <w:rPr>
                <w:sz w:val="1"/>
                <w:szCs w:val="1"/>
                <w:color w:val="auto"/>
              </w:rPr>
            </w:pPr>
          </w:p>
        </w:tc>
      </w:tr>
      <w:tr>
        <w:trPr>
          <w:trHeight w:val="215"/>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of</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plans</w:t>
            </w:r>
          </w:p>
        </w:tc>
        <w:tc>
          <w:tcPr>
            <w:tcW w:w="0" w:type="dxa"/>
            <w:vAlign w:val="bottom"/>
          </w:tcPr>
          <w:p>
            <w:pPr>
              <w:spacing w:after="0"/>
              <w:rPr>
                <w:sz w:val="1"/>
                <w:szCs w:val="1"/>
                <w:color w:val="auto"/>
              </w:rPr>
            </w:pPr>
          </w:p>
        </w:tc>
      </w:tr>
      <w:tr>
        <w:trPr>
          <w:trHeight w:val="215"/>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(excluding</w:t>
            </w:r>
          </w:p>
        </w:tc>
        <w:tc>
          <w:tcPr>
            <w:tcW w:w="0" w:type="dxa"/>
            <w:vAlign w:val="bottom"/>
          </w:tcPr>
          <w:p>
            <w:pPr>
              <w:spacing w:after="0"/>
              <w:rPr>
                <w:sz w:val="1"/>
                <w:szCs w:val="1"/>
                <w:color w:val="auto"/>
              </w:rPr>
            </w:pPr>
          </w:p>
        </w:tc>
      </w:tr>
      <w:tr>
        <w:trPr>
          <w:trHeight w:val="215"/>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0" w:type="dxa"/>
            <w:vAlign w:val="bottom"/>
          </w:tcPr>
          <w:p>
            <w:pPr>
              <w:spacing w:after="0"/>
              <w:rPr>
                <w:sz w:val="1"/>
                <w:szCs w:val="1"/>
                <w:color w:val="auto"/>
              </w:rPr>
            </w:pPr>
          </w:p>
        </w:tc>
      </w:tr>
      <w:tr>
        <w:trPr>
          <w:trHeight w:val="215"/>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warrants and</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warrants and</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reflected in</w:t>
            </w:r>
          </w:p>
        </w:tc>
        <w:tc>
          <w:tcPr>
            <w:tcW w:w="0" w:type="dxa"/>
            <w:vAlign w:val="bottom"/>
          </w:tcPr>
          <w:p>
            <w:pPr>
              <w:spacing w:after="0"/>
              <w:rPr>
                <w:sz w:val="1"/>
                <w:szCs w:val="1"/>
                <w:color w:val="auto"/>
              </w:rPr>
            </w:pPr>
          </w:p>
        </w:tc>
      </w:tr>
      <w:tr>
        <w:trPr>
          <w:trHeight w:val="247"/>
        </w:trPr>
        <w:tc>
          <w:tcPr>
            <w:tcW w:w="7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center"/>
              <w:ind w:right="220"/>
              <w:spacing w:after="0" w:line="247" w:lineRule="exact"/>
              <w:rPr>
                <w:sz w:val="20"/>
                <w:szCs w:val="20"/>
                <w:color w:val="auto"/>
              </w:rPr>
            </w:pPr>
            <w:r>
              <w:rPr>
                <w:rFonts w:ascii="Times New Roman" w:cs="Times New Roman" w:eastAsia="Times New Roman" w:hAnsi="Times New Roman"/>
                <w:sz w:val="17"/>
                <w:szCs w:val="17"/>
                <w:b w:val="1"/>
                <w:bCs w:val="1"/>
                <w:color w:val="auto"/>
                <w:w w:val="96"/>
              </w:rPr>
              <w:t>rights</w:t>
            </w:r>
            <w:r>
              <w:rPr>
                <w:rFonts w:ascii="Times New Roman" w:cs="Times New Roman" w:eastAsia="Times New Roman" w:hAnsi="Times New Roman"/>
                <w:sz w:val="28"/>
                <w:szCs w:val="28"/>
                <w:b w:val="1"/>
                <w:bCs w:val="1"/>
                <w:color w:val="auto"/>
                <w:w w:val="96"/>
                <w:vertAlign w:val="superscript"/>
              </w:rPr>
              <w:t>(1)</w:t>
            </w:r>
          </w:p>
        </w:tc>
        <w:tc>
          <w:tcPr>
            <w:tcW w:w="1340" w:type="dxa"/>
            <w:vAlign w:val="bottom"/>
            <w:gridSpan w:val="2"/>
          </w:tcPr>
          <w:p>
            <w:pPr>
              <w:jc w:val="center"/>
              <w:ind w:right="220"/>
              <w:spacing w:after="0" w:line="247" w:lineRule="exact"/>
              <w:rPr>
                <w:sz w:val="20"/>
                <w:szCs w:val="20"/>
                <w:color w:val="auto"/>
              </w:rPr>
            </w:pPr>
            <w:r>
              <w:rPr>
                <w:rFonts w:ascii="Times New Roman" w:cs="Times New Roman" w:eastAsia="Times New Roman" w:hAnsi="Times New Roman"/>
                <w:sz w:val="17"/>
                <w:szCs w:val="17"/>
                <w:b w:val="1"/>
                <w:bCs w:val="1"/>
                <w:color w:val="auto"/>
                <w:w w:val="99"/>
              </w:rPr>
              <w:t>rights</w:t>
            </w:r>
            <w:r>
              <w:rPr>
                <w:rFonts w:ascii="Times New Roman" w:cs="Times New Roman" w:eastAsia="Times New Roman" w:hAnsi="Times New Roman"/>
                <w:sz w:val="28"/>
                <w:szCs w:val="28"/>
                <w:b w:val="1"/>
                <w:bCs w:val="1"/>
                <w:color w:val="auto"/>
                <w:w w:val="99"/>
                <w:vertAlign w:val="superscript"/>
              </w:rPr>
              <w:t>(2)</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column (a))</w:t>
            </w:r>
          </w:p>
        </w:tc>
        <w:tc>
          <w:tcPr>
            <w:tcW w:w="0" w:type="dxa"/>
            <w:vAlign w:val="bottom"/>
          </w:tcPr>
          <w:p>
            <w:pPr>
              <w:spacing w:after="0"/>
              <w:rPr>
                <w:sz w:val="1"/>
                <w:szCs w:val="1"/>
                <w:color w:val="auto"/>
              </w:rPr>
            </w:pPr>
          </w:p>
        </w:tc>
      </w:tr>
      <w:tr>
        <w:trPr>
          <w:trHeight w:val="272"/>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32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Equity compensation plans not approved by security holders</w:t>
            </w:r>
            <w:r>
              <w:rPr>
                <w:rFonts w:ascii="Times New Roman" w:cs="Times New Roman" w:eastAsia="Times New Roman" w:hAnsi="Times New Roman"/>
                <w:sz w:val="29"/>
                <w:szCs w:val="29"/>
                <w:color w:val="auto"/>
                <w:vertAlign w:val="superscript"/>
              </w:rPr>
              <w:t>(3)</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783,944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2,446,337</w:t>
            </w:r>
          </w:p>
        </w:tc>
        <w:tc>
          <w:tcPr>
            <w:tcW w:w="0" w:type="dxa"/>
            <w:vAlign w:val="bottom"/>
          </w:tcPr>
          <w:p>
            <w:pPr>
              <w:spacing w:after="0"/>
              <w:rPr>
                <w:sz w:val="1"/>
                <w:szCs w:val="1"/>
                <w:color w:val="auto"/>
              </w:rPr>
            </w:pPr>
          </w:p>
        </w:tc>
      </w:tr>
      <w:tr>
        <w:trPr>
          <w:trHeight w:val="215"/>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783,944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14.41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2,446,337</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340" w:hanging="332"/>
        <w:spacing w:after="0"/>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number reflects the stock options and restricted stock awards granted under the 2023 Plan.</w:t>
      </w:r>
    </w:p>
    <w:p>
      <w:pPr>
        <w:spacing w:after="0" w:line="223" w:lineRule="exact"/>
        <w:rPr>
          <w:rFonts w:ascii="Times New Roman" w:cs="Times New Roman" w:eastAsia="Times New Roman" w:hAnsi="Times New Roman"/>
          <w:sz w:val="18"/>
          <w:szCs w:val="18"/>
          <w:color w:val="auto"/>
        </w:rPr>
      </w:pPr>
    </w:p>
    <w:p>
      <w:pPr>
        <w:ind w:left="340" w:right="2620" w:hanging="332"/>
        <w:spacing w:after="0" w:line="281" w:lineRule="auto"/>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into account all outstanding awards included in this table, the weighted-average exercise price of such stock options is $14.41 and the weighted-average term-to-expiration is 2.49 years.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consists of the 2023 Plan.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Equity Incentive Plan</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November 20, 2023, our board of directors adopted the 2023 Plan. The material terms of the 2023 Plan are summarized below.</w:t>
      </w:r>
    </w:p>
    <w:p>
      <w:pPr>
        <w:spacing w:after="0" w:line="222" w:lineRule="exact"/>
        <w:rPr>
          <w:sz w:val="20"/>
          <w:szCs w:val="20"/>
          <w:color w:val="auto"/>
        </w:rPr>
      </w:pPr>
    </w:p>
    <w:p>
      <w:pPr>
        <w:ind w:right="140" w:firstLine="646"/>
        <w:spacing w:after="0" w:line="258" w:lineRule="auto"/>
        <w:rPr>
          <w:sz w:val="20"/>
          <w:szCs w:val="20"/>
          <w:color w:val="auto"/>
        </w:rPr>
      </w:pPr>
      <w:r>
        <w:rPr>
          <w:rFonts w:ascii="Times New Roman" w:cs="Times New Roman" w:eastAsia="Times New Roman" w:hAnsi="Times New Roman"/>
          <w:sz w:val="18"/>
          <w:szCs w:val="18"/>
          <w:i w:val="1"/>
          <w:iCs w:val="1"/>
          <w:color w:val="auto"/>
        </w:rPr>
        <w:t>Purpose</w:t>
      </w:r>
      <w:r>
        <w:rPr>
          <w:rFonts w:ascii="Times New Roman" w:cs="Times New Roman" w:eastAsia="Times New Roman" w:hAnsi="Times New Roman"/>
          <w:sz w:val="18"/>
          <w:szCs w:val="18"/>
          <w:color w:val="auto"/>
        </w:rPr>
        <w:t>. The purpose of the 2023 Plan is to provide a means through which we and our affiliates may attract and retain key personnel and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a means whereby our and our affiliate’s directors, employees, and consultants (and prospective directors, employees, and consultants) can acquire and maintain an equity interest in the Company, or be paid incentive compensation, which may, but need not, be measured by reference to the value of our shares of common stock (“Shares”), thereby strengthening their commitment to the success of the Company and its affiliates and aligning their interests with those of our stockholders.</w:t>
      </w:r>
    </w:p>
    <w:p>
      <w:pPr>
        <w:spacing w:after="0" w:line="180" w:lineRule="exact"/>
        <w:rPr>
          <w:sz w:val="20"/>
          <w:szCs w:val="20"/>
          <w:color w:val="auto"/>
        </w:rPr>
      </w:pPr>
    </w:p>
    <w:p>
      <w:pPr>
        <w:jc w:val="both"/>
        <w:ind w:right="60" w:firstLine="646"/>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Eligibility and administration. </w:t>
      </w:r>
      <w:r>
        <w:rPr>
          <w:rFonts w:ascii="Times New Roman" w:cs="Times New Roman" w:eastAsia="Times New Roman" w:hAnsi="Times New Roman"/>
          <w:sz w:val="18"/>
          <w:szCs w:val="18"/>
          <w:color w:val="auto"/>
        </w:rPr>
        <w:t>Employees, consultants, and directors of Incannex and its affiliates, as well as prospective employees, consultants,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directors who have accepted offers of employment or consultancy from Incannex or its affiliates are eligible to receive one or more types of Awards (as defined below) under the 2023 Plan.</w:t>
      </w:r>
    </w:p>
    <w:p>
      <w:pPr>
        <w:spacing w:after="0" w:line="176" w:lineRule="exact"/>
        <w:rPr>
          <w:sz w:val="20"/>
          <w:szCs w:val="20"/>
          <w:color w:val="auto"/>
        </w:rPr>
      </w:pPr>
    </w:p>
    <w:p>
      <w:pPr>
        <w:ind w:right="400" w:firstLine="646"/>
        <w:spacing w:after="0" w:line="265" w:lineRule="auto"/>
        <w:rPr>
          <w:sz w:val="20"/>
          <w:szCs w:val="20"/>
          <w:color w:val="auto"/>
        </w:rPr>
      </w:pPr>
      <w:r>
        <w:rPr>
          <w:rFonts w:ascii="Times New Roman" w:cs="Times New Roman" w:eastAsia="Times New Roman" w:hAnsi="Times New Roman"/>
          <w:sz w:val="18"/>
          <w:szCs w:val="18"/>
          <w:color w:val="auto"/>
        </w:rPr>
        <w:t>The 2023 Plan is administered by a committee of two directors (“Committee”). Currently, Messrs. Widdows and Clark are members of the Committee. The Committee has complete authority to determine which employees, consultants, and/or non-employee directors will be granted Awards under the 2023 Plan. The Committee members must qualify as “non-employee directors” under Rule 16b-3 of the Exchange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25" w:name="page126"/>
    <w:bookmarkEnd w:id="125"/>
    <w:p>
      <w:pPr>
        <w:ind w:right="200" w:firstLine="646"/>
        <w:spacing w:after="0" w:line="254" w:lineRule="auto"/>
        <w:rPr>
          <w:sz w:val="20"/>
          <w:szCs w:val="20"/>
          <w:color w:val="auto"/>
        </w:rPr>
      </w:pPr>
      <w:r>
        <w:rPr>
          <w:rFonts w:ascii="Times New Roman" w:cs="Times New Roman" w:eastAsia="Times New Roman" w:hAnsi="Times New Roman"/>
          <w:sz w:val="18"/>
          <w:szCs w:val="18"/>
          <w:color w:val="auto"/>
        </w:rPr>
        <w:t>Subject to the terms of the 2023 Plan, the Committee has all discretion and authority to administer the 2023 Plan and to control its operation, in accordance with the 2023 Plan’s provisions, including, but not limited to, the power to (a) determine which employees, consultants, and non-employee directors will be granted Awards, (b) prescribe the terms and conditions of the Awards (which need not be the same), (c) interpret the 2023 Plan and the Awards, (d) adopt such procedures and/or subplans deemed necessary or appropriate for the purpose of satisfying applicable international laws or for qualifying for favorable tax treatment under applicable international laws, (e) to institute and determine the terms and conditions of an award exchange program; provided, however, that the Committee shall not implement an award exchange program without the approval of the majority of the Company’s stockholders entitled to vote at any annual or special meeting of Company’s stockholders, and (f) make whatever rules it considers appropriate for the administration and interpretation of the 2023 Plan.</w:t>
      </w:r>
    </w:p>
    <w:p>
      <w:pPr>
        <w:spacing w:after="0" w:line="187" w:lineRule="exact"/>
        <w:rPr>
          <w:sz w:val="20"/>
          <w:szCs w:val="20"/>
          <w:color w:val="auto"/>
        </w:rPr>
      </w:pPr>
    </w:p>
    <w:p>
      <w:pPr>
        <w:ind w:right="220" w:firstLine="646"/>
        <w:spacing w:after="0" w:line="280" w:lineRule="auto"/>
        <w:rPr>
          <w:sz w:val="20"/>
          <w:szCs w:val="20"/>
          <w:color w:val="auto"/>
        </w:rPr>
      </w:pPr>
      <w:r>
        <w:rPr>
          <w:rFonts w:ascii="Times New Roman" w:cs="Times New Roman" w:eastAsia="Times New Roman" w:hAnsi="Times New Roman"/>
          <w:sz w:val="17"/>
          <w:szCs w:val="17"/>
          <w:color w:val="auto"/>
        </w:rPr>
        <w:t>The Committee may delegate any of its authority and powers under the 2023 Plan to one or more officers of Incannex. However, the Committee may not delegate its authority and powers with respect to any Awards that are granted to Incannex’s executive officers or directors who are subject to Section 16(b) of the Securities Exchange Act. All interpretations, determinations and decisions made by the Committee, the board of directors, and any delegate of the Committee will be final and binding on all persons and will be given the maximum possible deference permitted by law.</w:t>
      </w:r>
    </w:p>
    <w:p>
      <w:pPr>
        <w:spacing w:after="0" w:line="163" w:lineRule="exact"/>
        <w:rPr>
          <w:sz w:val="20"/>
          <w:szCs w:val="20"/>
          <w:color w:val="auto"/>
        </w:rPr>
      </w:pPr>
    </w:p>
    <w:p>
      <w:pPr>
        <w:ind w:right="140" w:firstLine="646"/>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Limitation on Awards and Shares Available. </w:t>
      </w:r>
      <w:r>
        <w:rPr>
          <w:rFonts w:ascii="Times New Roman" w:cs="Times New Roman" w:eastAsia="Times New Roman" w:hAnsi="Times New Roman"/>
          <w:sz w:val="18"/>
          <w:szCs w:val="18"/>
          <w:color w:val="auto"/>
        </w:rPr>
        <w:t>The maximum number of Shares available for issuance under the 2023 Plan is 5,000,000 Shares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Reserve”). In no event shall the maximum aggregate number of Shares that may be issued under the 2023 Plan pursuant to incentive stock options exceed the Share Reserve. The Share Reserve is subject to further adjustment as provided in the 2023 Plan. In no event shall fractional Shares be issued under the 2023 Plan. The maximum number of Shares that may be granted under the 2023 Plan during any single fiscal year to a non-employee director, when taken together with any cash fees paid to such non-employee director during such year in respect of his or her service as a non-employee director (including service as a member or chair of any committee of the board of directors), shall not exceed US$750,000 in total value (calculating the value of any such Awards based on the grant date fair value of such Awards for financial reporting purposes).</w:t>
      </w:r>
    </w:p>
    <w:p>
      <w:pPr>
        <w:spacing w:after="0" w:line="186" w:lineRule="exact"/>
        <w:rPr>
          <w:sz w:val="20"/>
          <w:szCs w:val="20"/>
          <w:color w:val="auto"/>
        </w:rPr>
      </w:pPr>
    </w:p>
    <w:p>
      <w:pPr>
        <w:ind w:firstLine="646"/>
        <w:spacing w:after="0" w:line="265" w:lineRule="auto"/>
        <w:rPr>
          <w:sz w:val="20"/>
          <w:szCs w:val="20"/>
          <w:color w:val="auto"/>
        </w:rPr>
      </w:pPr>
      <w:r>
        <w:rPr>
          <w:rFonts w:ascii="Times New Roman" w:cs="Times New Roman" w:eastAsia="Times New Roman" w:hAnsi="Times New Roman"/>
          <w:sz w:val="18"/>
          <w:szCs w:val="18"/>
          <w:color w:val="auto"/>
        </w:rPr>
        <w:t>In the event there is a specified type of change in our capital structure, such as a stock split, reverse stock split, or recapitalization, appropriate adjustments will be made to (i) the class and maximum number of Shares reserved for issuance under the 2023 Plan and (ii) the class and maximum number of Shares that may be issued on the exercise of incentive stock options (“ISOs”).</w:t>
      </w:r>
    </w:p>
    <w:p>
      <w:pPr>
        <w:spacing w:after="0" w:line="174" w:lineRule="exact"/>
        <w:rPr>
          <w:sz w:val="20"/>
          <w:szCs w:val="20"/>
          <w:color w:val="auto"/>
        </w:rPr>
      </w:pPr>
    </w:p>
    <w:p>
      <w:pPr>
        <w:ind w:right="360" w:firstLine="646"/>
        <w:spacing w:after="0" w:line="283" w:lineRule="auto"/>
        <w:rPr>
          <w:sz w:val="20"/>
          <w:szCs w:val="20"/>
          <w:color w:val="auto"/>
        </w:rPr>
      </w:pPr>
      <w:r>
        <w:rPr>
          <w:rFonts w:ascii="Times New Roman" w:cs="Times New Roman" w:eastAsia="Times New Roman" w:hAnsi="Times New Roman"/>
          <w:sz w:val="18"/>
          <w:szCs w:val="18"/>
          <w:i w:val="1"/>
          <w:iCs w:val="1"/>
          <w:color w:val="auto"/>
        </w:rPr>
        <w:t xml:space="preserve">Awards. </w:t>
      </w:r>
      <w:r>
        <w:rPr>
          <w:rFonts w:ascii="Times New Roman" w:cs="Times New Roman" w:eastAsia="Times New Roman" w:hAnsi="Times New Roman"/>
          <w:sz w:val="18"/>
          <w:szCs w:val="18"/>
          <w:color w:val="auto"/>
        </w:rPr>
        <w:t>The 2023 Plan permits Incannex to grant various types of discretionary equity compensation awards under the 2023 Plan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w:t>
      </w:r>
    </w:p>
    <w:p>
      <w:pPr>
        <w:spacing w:after="0" w:line="160" w:lineRule="exact"/>
        <w:rPr>
          <w:sz w:val="20"/>
          <w:szCs w:val="20"/>
          <w:color w:val="auto"/>
        </w:rPr>
      </w:pPr>
    </w:p>
    <w:p>
      <w:pPr>
        <w:ind w:left="980" w:hanging="326"/>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ISOs</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Nonqualified stock options (“NSOs”)</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 “SARs”)</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units(“RSUs”)</w:t>
      </w:r>
    </w:p>
    <w:p>
      <w:pPr>
        <w:spacing w:after="0" w:line="223" w:lineRule="exact"/>
        <w:rPr>
          <w:rFonts w:ascii="Times New Roman" w:cs="Times New Roman" w:eastAsia="Times New Roman" w:hAnsi="Times New Roman"/>
          <w:sz w:val="18"/>
          <w:szCs w:val="18"/>
          <w:color w:val="auto"/>
        </w:rPr>
      </w:pPr>
    </w:p>
    <w:p>
      <w:pPr>
        <w:ind w:left="980" w:hanging="326"/>
        <w:spacing w:after="0"/>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bonus awards, and</w:t>
      </w:r>
    </w:p>
    <w:p>
      <w:pPr>
        <w:spacing w:after="0" w:line="223" w:lineRule="exact"/>
        <w:rPr>
          <w:rFonts w:ascii="Times New Roman" w:cs="Times New Roman" w:eastAsia="Times New Roman" w:hAnsi="Times New Roman"/>
          <w:sz w:val="18"/>
          <w:szCs w:val="18"/>
          <w:color w:val="auto"/>
        </w:rPr>
      </w:pPr>
    </w:p>
    <w:p>
      <w:pPr>
        <w:ind w:left="980" w:right="940" w:hanging="326"/>
        <w:spacing w:after="0" w:line="281" w:lineRule="auto"/>
        <w:tabs>
          <w:tab w:leader="none" w:pos="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awards. An individual who has received one or more Awards under the 2023 Plan is referred to in this summary as a “</w:t>
      </w:r>
      <w:r>
        <w:rPr>
          <w:rFonts w:ascii="Times New Roman" w:cs="Times New Roman" w:eastAsia="Times New Roman" w:hAnsi="Times New Roman"/>
          <w:sz w:val="18"/>
          <w:szCs w:val="18"/>
          <w:i w:val="1"/>
          <w:iCs w:val="1"/>
          <w:color w:val="auto"/>
        </w:rPr>
        <w:t>participant</w:t>
      </w:r>
      <w:r>
        <w:rPr>
          <w:rFonts w:ascii="Times New Roman" w:cs="Times New Roman" w:eastAsia="Times New Roman" w:hAnsi="Times New Roman"/>
          <w:sz w:val="18"/>
          <w:szCs w:val="18"/>
          <w:color w:val="auto"/>
        </w:rPr>
        <w:t>”.</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126" w:name="page127"/>
    <w:bookmarkEnd w:id="126"/>
    <w:p>
      <w:pPr>
        <w:ind w:left="660"/>
        <w:spacing w:after="0"/>
        <w:rPr>
          <w:sz w:val="20"/>
          <w:szCs w:val="20"/>
          <w:color w:val="auto"/>
        </w:rPr>
      </w:pPr>
      <w:r>
        <w:rPr>
          <w:rFonts w:ascii="Times New Roman" w:cs="Times New Roman" w:eastAsia="Times New Roman" w:hAnsi="Times New Roman"/>
          <w:sz w:val="18"/>
          <w:szCs w:val="18"/>
          <w:color w:val="auto"/>
        </w:rPr>
        <w:t>A brief description of each award type follows.</w:t>
      </w:r>
    </w:p>
    <w:p>
      <w:pPr>
        <w:spacing w:after="0" w:line="222" w:lineRule="exact"/>
        <w:rPr>
          <w:sz w:val="20"/>
          <w:szCs w:val="20"/>
          <w:color w:val="auto"/>
        </w:rPr>
      </w:pPr>
    </w:p>
    <w:p>
      <w:pPr>
        <w:ind w:left="980" w:right="140" w:hanging="326"/>
        <w:spacing w:after="0" w:line="253" w:lineRule="auto"/>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ISOs and NSOs. </w:t>
      </w:r>
      <w:r>
        <w:rPr>
          <w:rFonts w:ascii="Times New Roman" w:cs="Times New Roman" w:eastAsia="Times New Roman" w:hAnsi="Times New Roman"/>
          <w:sz w:val="18"/>
          <w:szCs w:val="18"/>
          <w:color w:val="auto"/>
        </w:rPr>
        <w:t>Stock options provide for the purchase of Shares in the future at an exercise price set by the Committee on the grant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ISOs are stock options that by their terms qualify for, and are intended to qualify for, favorable U.S. federal tax treatment. NSOs are stock options that by their terms either do not qualify for or are not intended to qualify as ISOs. Incannex may grant ISOs only to employees of Incannex or a subsidiary at the time of grant. The exercise price of each NSO will be determined by the Committee in its discretion but must be at least one hundred percent (100%) of the fair market value of the Shares on the grant date or otherwise compliant with Section 409A of the Internal Revenue Code of 1986, as amended (the “Code”). The exercise price of an ISO must be at least one hundred percent (100%) of the fair market value of the Shares on the grant date (although in rare circumstances, the exercise price must be at least 110% of the fair market value of the Shares on the grant date), except with respect to certain substitute options granted in connection with a corporate transaction. Stock options will not be exercisable after the expiration of 10 years from the date of grant (or 5 years, in the case of an ISO issued to a 10% stockholder).</w:t>
      </w:r>
    </w:p>
    <w:p>
      <w:pPr>
        <w:spacing w:after="0" w:line="188" w:lineRule="exact"/>
        <w:rPr>
          <w:rFonts w:ascii="Times New Roman" w:cs="Times New Roman" w:eastAsia="Times New Roman" w:hAnsi="Times New Roman"/>
          <w:sz w:val="18"/>
          <w:szCs w:val="18"/>
          <w:color w:val="auto"/>
        </w:rPr>
      </w:pPr>
    </w:p>
    <w:p>
      <w:pPr>
        <w:ind w:left="980" w:right="140" w:hanging="326"/>
        <w:spacing w:after="0" w:line="261" w:lineRule="auto"/>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SARs. </w:t>
      </w:r>
      <w:r>
        <w:rPr>
          <w:rFonts w:ascii="Times New Roman" w:cs="Times New Roman" w:eastAsia="Times New Roman" w:hAnsi="Times New Roman"/>
          <w:sz w:val="18"/>
          <w:szCs w:val="18"/>
          <w:color w:val="auto"/>
        </w:rPr>
        <w:t>SARs entitle the participant, upon exercise, to receive an amount equal to the appreciation of the Shares subject to the Award between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grant date and the exercise date. The exercise price of a SAR will not be less than 100% of the fair market value of the underlying Share on the grant date (except with respect to certain substitute SARs granted in connection with a corporate transaction). SARs will not be exercisable after the expiration of 10 years from the grant date.</w:t>
      </w:r>
    </w:p>
    <w:p>
      <w:pPr>
        <w:spacing w:after="0" w:line="177" w:lineRule="exact"/>
        <w:rPr>
          <w:rFonts w:ascii="Times New Roman" w:cs="Times New Roman" w:eastAsia="Times New Roman" w:hAnsi="Times New Roman"/>
          <w:sz w:val="18"/>
          <w:szCs w:val="18"/>
          <w:color w:val="auto"/>
        </w:rPr>
      </w:pPr>
    </w:p>
    <w:p>
      <w:pPr>
        <w:ind w:left="980" w:right="40" w:hanging="326"/>
        <w:spacing w:after="0" w:line="261" w:lineRule="auto"/>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Restricted stock and RSUs. </w:t>
      </w:r>
      <w:r>
        <w:rPr>
          <w:rFonts w:ascii="Times New Roman" w:cs="Times New Roman" w:eastAsia="Times New Roman" w:hAnsi="Times New Roman"/>
          <w:sz w:val="18"/>
          <w:szCs w:val="18"/>
          <w:color w:val="auto"/>
        </w:rPr>
        <w:t>Restricted stock is an award of nontransferable Shares that remain forfeitable unless and until specified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met, and which may be subject to a purchase price. RSUs are contractual promises to pay cash or deliver Shares in the future, which may also remain forfeitable unless and until specified conditions are met. Delivery of the shares underlying RSUs may be deferred under the terms of the Award or at the election of the participant, if the Committee permits such a deferral.</w:t>
      </w:r>
    </w:p>
    <w:p>
      <w:pPr>
        <w:spacing w:after="0" w:line="177" w:lineRule="exact"/>
        <w:rPr>
          <w:rFonts w:ascii="Times New Roman" w:cs="Times New Roman" w:eastAsia="Times New Roman" w:hAnsi="Times New Roman"/>
          <w:sz w:val="18"/>
          <w:szCs w:val="18"/>
          <w:color w:val="auto"/>
        </w:rPr>
      </w:pPr>
    </w:p>
    <w:p>
      <w:pPr>
        <w:ind w:left="980" w:right="20" w:hanging="326"/>
        <w:spacing w:after="0" w:line="283" w:lineRule="auto"/>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Stock bonuses. </w:t>
      </w:r>
      <w:r>
        <w:rPr>
          <w:rFonts w:ascii="Times New Roman" w:cs="Times New Roman" w:eastAsia="Times New Roman" w:hAnsi="Times New Roman"/>
          <w:sz w:val="18"/>
          <w:szCs w:val="18"/>
          <w:color w:val="auto"/>
        </w:rPr>
        <w:t>A stock bonus is the issuance of Shares to a participant. The Shares issued pursuant to a stock bonus typically are unrestricted,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meaning that they are not subject to vesting requirements.</w:t>
      </w:r>
    </w:p>
    <w:p>
      <w:pPr>
        <w:spacing w:after="0" w:line="158" w:lineRule="exact"/>
        <w:rPr>
          <w:rFonts w:ascii="Times New Roman" w:cs="Times New Roman" w:eastAsia="Times New Roman" w:hAnsi="Times New Roman"/>
          <w:sz w:val="18"/>
          <w:szCs w:val="18"/>
          <w:color w:val="auto"/>
        </w:rPr>
      </w:pPr>
    </w:p>
    <w:p>
      <w:pPr>
        <w:ind w:left="980" w:right="100" w:hanging="326"/>
        <w:spacing w:after="0" w:line="258" w:lineRule="auto"/>
        <w:tabs>
          <w:tab w:leader="none" w:pos="9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 awards</w:t>
      </w:r>
      <w:r>
        <w:rPr>
          <w:rFonts w:ascii="Times New Roman" w:cs="Times New Roman" w:eastAsia="Times New Roman" w:hAnsi="Times New Roman"/>
          <w:sz w:val="18"/>
          <w:szCs w:val="18"/>
          <w:color w:val="auto"/>
        </w:rPr>
        <w:t>. Performance awards include any of the foregoing Awards that are granted subject to vesting and/or payment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attainment of specified performance goals or other criteria the Committee may determine, which may or may not be objectively determinable. Such performance goals may be based solely by reference to our performance or the performance of a subsidiary, division, business segment or business unit, or based upon performance relative to performance of other companies or upon comparisons of any of the indicators of performance relative to performance of other companies.</w:t>
      </w:r>
    </w:p>
    <w:p>
      <w:pPr>
        <w:spacing w:after="0" w:line="180" w:lineRule="exact"/>
        <w:rPr>
          <w:sz w:val="20"/>
          <w:szCs w:val="20"/>
          <w:color w:val="auto"/>
        </w:rPr>
      </w:pPr>
    </w:p>
    <w:p>
      <w:pPr>
        <w:ind w:firstLine="646"/>
        <w:spacing w:after="0" w:line="266" w:lineRule="auto"/>
        <w:rPr>
          <w:sz w:val="20"/>
          <w:szCs w:val="20"/>
          <w:color w:val="auto"/>
        </w:rPr>
      </w:pPr>
      <w:r>
        <w:rPr>
          <w:rFonts w:ascii="Times New Roman" w:cs="Times New Roman" w:eastAsia="Times New Roman" w:hAnsi="Times New Roman"/>
          <w:sz w:val="18"/>
          <w:szCs w:val="18"/>
          <w:i w:val="1"/>
          <w:iCs w:val="1"/>
          <w:color w:val="auto"/>
        </w:rPr>
        <w:t xml:space="preserve">Vesting. </w:t>
      </w:r>
      <w:r>
        <w:rPr>
          <w:rFonts w:ascii="Times New Roman" w:cs="Times New Roman" w:eastAsia="Times New Roman" w:hAnsi="Times New Roman"/>
          <w:sz w:val="18"/>
          <w:szCs w:val="18"/>
          <w:color w:val="auto"/>
        </w:rPr>
        <w:t>The Committee may determine the time and conditions under which the Award will vest and may specify partial vesting in one or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vesting tranches, which may be based solely upon continued employment or service for a specified period of time or may be based upon the achievement of specific performance goals established by the Committee in its discretion.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all purposes of the 2023 Plan, “vesting” of an Award shall mean:</w:t>
      </w:r>
    </w:p>
    <w:p>
      <w:pPr>
        <w:spacing w:after="0" w:line="224" w:lineRule="exact"/>
        <w:rPr>
          <w:sz w:val="20"/>
          <w:szCs w:val="20"/>
          <w:color w:val="auto"/>
        </w:rPr>
      </w:pPr>
    </w:p>
    <w:p>
      <w:pPr>
        <w:ind w:left="980" w:hanging="326"/>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ISO, NSO, or SAR, the time at which the participant has the right to exercise the Award.</w:t>
      </w:r>
    </w:p>
    <w:p>
      <w:pPr>
        <w:spacing w:after="0" w:line="223" w:lineRule="exact"/>
        <w:rPr>
          <w:rFonts w:ascii="Times New Roman" w:cs="Times New Roman" w:eastAsia="Times New Roman" w:hAnsi="Times New Roman"/>
          <w:sz w:val="18"/>
          <w:szCs w:val="18"/>
          <w:color w:val="auto"/>
        </w:rPr>
      </w:pPr>
    </w:p>
    <w:p>
      <w:pPr>
        <w:ind w:left="980" w:right="260" w:hanging="326"/>
        <w:spacing w:after="0" w:line="281" w:lineRule="auto"/>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restricted stock or RSUs, the time at which all conditions for vesting, as stated in the applicable award agreement or the 2023 Plan, are satisfied.</w:t>
      </w:r>
    </w:p>
    <w:p>
      <w:pPr>
        <w:spacing w:after="0" w:line="161" w:lineRule="exact"/>
        <w:rPr>
          <w:rFonts w:ascii="Times New Roman" w:cs="Times New Roman" w:eastAsia="Times New Roman" w:hAnsi="Times New Roman"/>
          <w:sz w:val="18"/>
          <w:szCs w:val="18"/>
          <w:color w:val="auto"/>
        </w:rPr>
      </w:pPr>
    </w:p>
    <w:p>
      <w:pPr>
        <w:ind w:left="980" w:right="260" w:hanging="326"/>
        <w:spacing w:after="0" w:line="281" w:lineRule="auto"/>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performance shares, the time at which the participant has satisfied the requirements to receive payment on such performance shares, as stated in the applicable award agreement or the 2023 Plan.</w:t>
      </w:r>
    </w:p>
    <w:p>
      <w:pPr>
        <w:spacing w:after="0" w:line="162" w:lineRule="exact"/>
        <w:rPr>
          <w:sz w:val="20"/>
          <w:szCs w:val="20"/>
          <w:color w:val="auto"/>
        </w:rPr>
      </w:pPr>
    </w:p>
    <w:p>
      <w:pPr>
        <w:ind w:right="40" w:firstLine="646"/>
        <w:spacing w:after="0" w:line="281" w:lineRule="auto"/>
        <w:rPr>
          <w:sz w:val="20"/>
          <w:szCs w:val="20"/>
          <w:color w:val="auto"/>
        </w:rPr>
      </w:pPr>
      <w:r>
        <w:rPr>
          <w:rFonts w:ascii="Times New Roman" w:cs="Times New Roman" w:eastAsia="Times New Roman" w:hAnsi="Times New Roman"/>
          <w:sz w:val="18"/>
          <w:szCs w:val="18"/>
          <w:color w:val="auto"/>
        </w:rPr>
        <w:t>Vesting need not be uniform among Awards granted at the same time or to persons similarly situated. Vesting requirements shall be set forth in the applicable award agreement.</w:t>
      </w: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00"/>
          </w:cols>
          <w:pgMar w:left="320" w:top="875" w:right="379" w:bottom="1440" w:gutter="0" w:footer="0" w:header="0"/>
        </w:sectPr>
      </w:pPr>
    </w:p>
    <w:bookmarkStart w:id="127" w:name="page128"/>
    <w:bookmarkEnd w:id="127"/>
    <w:p>
      <w:pPr>
        <w:ind w:right="40" w:firstLine="646"/>
        <w:spacing w:after="0" w:line="260" w:lineRule="auto"/>
        <w:rPr>
          <w:sz w:val="20"/>
          <w:szCs w:val="20"/>
          <w:color w:val="auto"/>
        </w:rPr>
      </w:pPr>
      <w:r>
        <w:rPr>
          <w:rFonts w:ascii="Times New Roman" w:cs="Times New Roman" w:eastAsia="Times New Roman" w:hAnsi="Times New Roman"/>
          <w:sz w:val="18"/>
          <w:szCs w:val="18"/>
          <w:color w:val="auto"/>
        </w:rPr>
        <w:t>If the date of the vesting of any Award, other than an ISO, NSO, or SAR, held by participant who is subject to Incannex’s policy regarding trading of its Shares by its officers and directors and the Shares are not within a “window period” applicable to the participant, as determined by Incannex in accordance with such policy, then the vesting of such Award shall not occur on such original vesting date and shall instead occur on the first day of the next “window period” applicable to the participant pursuant to such policy.</w:t>
      </w:r>
    </w:p>
    <w:p>
      <w:pPr>
        <w:spacing w:after="0" w:line="179" w:lineRule="exact"/>
        <w:rPr>
          <w:sz w:val="20"/>
          <w:szCs w:val="20"/>
          <w:color w:val="auto"/>
        </w:rPr>
      </w:pPr>
    </w:p>
    <w:p>
      <w:pPr>
        <w:ind w:right="40" w:firstLine="646"/>
        <w:spacing w:after="0" w:line="253" w:lineRule="auto"/>
        <w:rPr>
          <w:sz w:val="20"/>
          <w:szCs w:val="20"/>
          <w:color w:val="auto"/>
        </w:rPr>
      </w:pPr>
      <w:r>
        <w:rPr>
          <w:rFonts w:ascii="Times New Roman" w:cs="Times New Roman" w:eastAsia="Times New Roman" w:hAnsi="Times New Roman"/>
          <w:sz w:val="18"/>
          <w:szCs w:val="18"/>
          <w:i w:val="1"/>
          <w:iCs w:val="1"/>
          <w:color w:val="auto"/>
        </w:rPr>
        <w:t>Certain transactions; Adjustments</w:t>
      </w:r>
      <w:r>
        <w:rPr>
          <w:rFonts w:ascii="Times New Roman" w:cs="Times New Roman" w:eastAsia="Times New Roman" w:hAnsi="Times New Roman"/>
          <w:sz w:val="18"/>
          <w:szCs w:val="18"/>
          <w:color w:val="auto"/>
        </w:rPr>
        <w:t>. In the event of (i) any dividend (other than ordinary cash dividends) or other distribution (whether in the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cash, Shares, other securities or other property), recapitalization, stock split, reverse stock split, reorganization, merger, amalgamation, consolidation, spin-off, split-up, split-off, combination, or other similar corporate transaction or event that affects the Shares, or (ii) unusual or infrequently occurring events affecting the Company, any affiliate, or the financial statements of the Company or any affiliate, or changes in applicable rules, rulings, regulations or other requirements of any governmental body or securities exchange or inter-dealer quotation system, accounting principles or law, such that in either case the Committee in its sole discretion may adjust any or all of (A) the number of Shares or other securities of the Company (or number and kind of other securities or other property) that may be delivered in respect of Awards or with respect to which Awards may be granted under the 2023 Plan and (B) the terms of any outstanding Award, including, without limitation, (1) the number of Shares or other securities of the Company (or number and kind of other securities or other property) subject to outstanding Awards or to which outstanding Awards relate, (2) the exercise price with respect to any Award, or (3) any applicable performance measures.</w:t>
      </w:r>
    </w:p>
    <w:p>
      <w:pPr>
        <w:spacing w:after="0" w:line="188" w:lineRule="exact"/>
        <w:rPr>
          <w:sz w:val="20"/>
          <w:szCs w:val="20"/>
          <w:color w:val="auto"/>
        </w:rPr>
      </w:pPr>
    </w:p>
    <w:p>
      <w:pPr>
        <w:ind w:firstLine="646"/>
        <w:spacing w:after="0" w:line="255" w:lineRule="auto"/>
        <w:rPr>
          <w:sz w:val="20"/>
          <w:szCs w:val="20"/>
          <w:color w:val="auto"/>
        </w:rPr>
      </w:pPr>
      <w:r>
        <w:rPr>
          <w:rFonts w:ascii="Times New Roman" w:cs="Times New Roman" w:eastAsia="Times New Roman" w:hAnsi="Times New Roman"/>
          <w:sz w:val="18"/>
          <w:szCs w:val="18"/>
          <w:i w:val="1"/>
          <w:iCs w:val="1"/>
          <w:color w:val="auto"/>
        </w:rPr>
        <w:t>Treatment of Awards Upon a Change in Control</w:t>
      </w:r>
      <w:r>
        <w:rPr>
          <w:rFonts w:ascii="Times New Roman" w:cs="Times New Roman" w:eastAsia="Times New Roman" w:hAnsi="Times New Roman"/>
          <w:sz w:val="18"/>
          <w:szCs w:val="18"/>
          <w:color w:val="auto"/>
        </w:rPr>
        <w:t>. In the event of a “change in control” of the Company, as defined in the 2023 Plan, then unless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provided in an award agreement, the Committee may, in its sole discretion: (i) cancel awards for a cash payment equal to their fair value (as determined in the sole discretion of the Committee), (ii) provide for the issuance of replacement awards, (iii) terminate stock options without providing accelerated vesting, (iv) immediately vest the unvested portion of any Award or (v) take any other action with respect to the awards the Committee deems appropriate. The treatment of awards upon a change in control may vary among participants and types of awards in the Committee’s sole discretion. Awards subject to performance goals shall be settled upon a “change in control” of the Company based upon the extent to which the performance goals underlying such awards have been achieved as determined in the sole discretion of the Committee.</w:t>
      </w:r>
    </w:p>
    <w:p>
      <w:pPr>
        <w:spacing w:after="0" w:line="184" w:lineRule="exact"/>
        <w:rPr>
          <w:sz w:val="20"/>
          <w:szCs w:val="20"/>
          <w:color w:val="auto"/>
        </w:rPr>
      </w:pPr>
    </w:p>
    <w:p>
      <w:pPr>
        <w:ind w:right="40" w:firstLine="646"/>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Clawback provisions, transferability, and participant payments. </w:t>
      </w:r>
      <w:r>
        <w:rPr>
          <w:rFonts w:ascii="Times New Roman" w:cs="Times New Roman" w:eastAsia="Times New Roman" w:hAnsi="Times New Roman"/>
          <w:sz w:val="18"/>
          <w:szCs w:val="18"/>
          <w:color w:val="auto"/>
        </w:rPr>
        <w:t>All Awards will be subject to the provisions of any clawback policy implemented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Incannex and to the extent set forth in such clawback policy or in the applicable award agreement. With limited exceptions according to the laws of descent and distribution, Awards under the 2023 Plan are generally nontransferable prior to vesting and are exercisable only by the participant. With regard to tax withholding obligations arising in connection with Awards under the 2023 Plan and exercise price obligations arising in connection with the exercise of stock options under the 2023 Plan, the Committee may, in its discretion, accept cash, wire transfer, or check, shares of our common stock that meet specified conditions (a market sell order) or such other consideration as it deems suitable or any combination of the foregoing.</w:t>
      </w:r>
    </w:p>
    <w:p>
      <w:pPr>
        <w:spacing w:after="0" w:line="184" w:lineRule="exact"/>
        <w:rPr>
          <w:sz w:val="20"/>
          <w:szCs w:val="20"/>
          <w:color w:val="auto"/>
        </w:rPr>
      </w:pPr>
    </w:p>
    <w:p>
      <w:pPr>
        <w:ind w:right="100" w:firstLine="646"/>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2023 Plan amendment and termination. </w:t>
      </w:r>
      <w:r>
        <w:rPr>
          <w:rFonts w:ascii="Times New Roman" w:cs="Times New Roman" w:eastAsia="Times New Roman" w:hAnsi="Times New Roman"/>
          <w:sz w:val="18"/>
          <w:szCs w:val="18"/>
          <w:color w:val="auto"/>
        </w:rPr>
        <w:t>The board of directors may amend, suspend, or terminate the 2023 Plan at any time; however, Incannex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obtain stockholder approval of any material amendment to the 2023 Plan. No amendment, suspension or termination of the 2023 Plan can, without the consent of the participant, alter or impair any rights or obligations under his or her outstanding Award(s). No award may be granted pursuant to the 2023 Plan after the tenth anniversary of the date on which our board of directors adopted 2023 Plan.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a description of our related party transactions since July 1, 2021 to which we have been a party and in which:</w:t>
      </w:r>
    </w:p>
    <w:p>
      <w:pPr>
        <w:spacing w:after="0" w:line="224" w:lineRule="exact"/>
        <w:rPr>
          <w:sz w:val="20"/>
          <w:szCs w:val="20"/>
          <w:color w:val="auto"/>
        </w:rPr>
      </w:pPr>
    </w:p>
    <w:p>
      <w:pPr>
        <w:ind w:left="980" w:right="80" w:hanging="326"/>
        <w:spacing w:after="0" w:line="281" w:lineRule="auto"/>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the lesser of $120,000 or 1% of the average of the Company’s total assets at year-end for fiscal years 2024, 2023, and 2022; and</w:t>
      </w:r>
    </w:p>
    <w:p>
      <w:pPr>
        <w:spacing w:after="0" w:line="161" w:lineRule="exact"/>
        <w:rPr>
          <w:rFonts w:ascii="Times New Roman" w:cs="Times New Roman" w:eastAsia="Times New Roman" w:hAnsi="Times New Roman"/>
          <w:sz w:val="18"/>
          <w:szCs w:val="18"/>
          <w:color w:val="auto"/>
        </w:rPr>
      </w:pPr>
    </w:p>
    <w:p>
      <w:pPr>
        <w:ind w:left="980" w:right="160" w:hanging="326"/>
        <w:spacing w:after="0" w:line="281" w:lineRule="auto"/>
        <w:tabs>
          <w:tab w:leader="none" w:pos="9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beneficial holders of more than 5% of our voting securities, or their affiliates or immediate family members, had or will have a direct or indirect material interest.</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875" w:right="359" w:bottom="1440" w:gutter="0" w:footer="0" w:header="0"/>
        </w:sectPr>
      </w:pPr>
    </w:p>
    <w:bookmarkStart w:id="128" w:name="page129"/>
    <w:bookmarkEnd w:id="128"/>
    <w:p>
      <w:pPr>
        <w:jc w:val="both"/>
        <w:ind w:right="40" w:firstLine="646"/>
        <w:spacing w:after="0" w:line="265" w:lineRule="auto"/>
        <w:rPr>
          <w:sz w:val="20"/>
          <w:szCs w:val="20"/>
          <w:color w:val="auto"/>
        </w:rPr>
      </w:pPr>
      <w:r>
        <w:rPr>
          <w:rFonts w:ascii="Times New Roman" w:cs="Times New Roman" w:eastAsia="Times New Roman" w:hAnsi="Times New Roman"/>
          <w:sz w:val="18"/>
          <w:szCs w:val="18"/>
          <w:color w:val="auto"/>
        </w:rPr>
        <w:t>During fiscal year 2023, $166,417 in fees were paid to Cannvalate Pty Ltd., an entity in which Dr. Sud Agarwal, a former member of the board of directors of Incannex who resigned on June 28, 2022, is a director. The fees accrued and were payable in the fiscal year ended June 30, 2022 with respect to patient research activities conducted by Cannvalate.</w:t>
      </w:r>
    </w:p>
    <w:p>
      <w:pPr>
        <w:spacing w:after="0" w:line="176" w:lineRule="exact"/>
        <w:rPr>
          <w:sz w:val="20"/>
          <w:szCs w:val="20"/>
          <w:color w:val="auto"/>
        </w:rPr>
      </w:pPr>
    </w:p>
    <w:p>
      <w:pPr>
        <w:ind w:right="520" w:firstLine="646"/>
        <w:spacing w:after="0" w:line="311" w:lineRule="auto"/>
        <w:rPr>
          <w:sz w:val="20"/>
          <w:szCs w:val="20"/>
          <w:color w:val="auto"/>
        </w:rPr>
      </w:pPr>
      <w:r>
        <w:rPr>
          <w:rFonts w:ascii="Times New Roman" w:cs="Times New Roman" w:eastAsia="Times New Roman" w:hAnsi="Times New Roman"/>
          <w:sz w:val="17"/>
          <w:szCs w:val="17"/>
          <w:color w:val="auto"/>
        </w:rPr>
        <w:t>During fiscal years 2023 and 2022, respectively, Troy Valentine, the Chairperson of our board of directors, was paid $171,049 and $174,199 respectively, for consulting fees invoiced to Incannex Australia, outside of his directors’ fees for his service as director of Incannex Australia.</w:t>
      </w:r>
    </w:p>
    <w:p>
      <w:pPr>
        <w:spacing w:after="0" w:line="140" w:lineRule="exact"/>
        <w:rPr>
          <w:sz w:val="20"/>
          <w:szCs w:val="20"/>
          <w:color w:val="auto"/>
        </w:rPr>
      </w:pPr>
    </w:p>
    <w:p>
      <w:pPr>
        <w:ind w:firstLine="646"/>
        <w:spacing w:after="0" w:line="281" w:lineRule="auto"/>
        <w:rPr>
          <w:sz w:val="20"/>
          <w:szCs w:val="20"/>
          <w:color w:val="auto"/>
        </w:rPr>
      </w:pPr>
      <w:r>
        <w:rPr>
          <w:rFonts w:ascii="Times New Roman" w:cs="Times New Roman" w:eastAsia="Times New Roman" w:hAnsi="Times New Roman"/>
          <w:sz w:val="18"/>
          <w:szCs w:val="18"/>
          <w:color w:val="auto"/>
        </w:rPr>
        <w:t>In fiscal year 2022, $296,011 in fees were paid to Alignment Capital Pty Ltd, an entity controlled by Mr. Valentine, as consideration for its services as lead manager to place the shortfall options related to Incannex Australia’s issuance of options to investors and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and Officer Indemnification</w:t>
      </w:r>
    </w:p>
    <w:p>
      <w:pPr>
        <w:spacing w:after="0" w:line="228" w:lineRule="exact"/>
        <w:rPr>
          <w:sz w:val="20"/>
          <w:szCs w:val="20"/>
          <w:color w:val="auto"/>
        </w:rPr>
      </w:pPr>
    </w:p>
    <w:p>
      <w:pPr>
        <w:ind w:right="60" w:firstLine="646"/>
        <w:spacing w:after="0" w:line="260"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These agreements, among other things, require us or will require us to indemnify each director (and executive officer to the fullest extent permitted by Delaware law, including indemnification of expenses such as attorneys’ fees, judgments, fines and settlement amounts incurred by the director or executive officer in any action or proceeding, including any action or proceeding by or in right of us, arising out of the person’s services as a director or executive officer.</w:t>
      </w:r>
    </w:p>
    <w:p>
      <w:pPr>
        <w:spacing w:after="0" w:line="181" w:lineRule="exact"/>
        <w:rPr>
          <w:sz w:val="20"/>
          <w:szCs w:val="20"/>
          <w:color w:val="auto"/>
        </w:rPr>
      </w:pPr>
    </w:p>
    <w:p>
      <w:pPr>
        <w:ind w:right="80" w:firstLine="646"/>
        <w:spacing w:after="0" w:line="265" w:lineRule="auto"/>
        <w:rPr>
          <w:sz w:val="20"/>
          <w:szCs w:val="20"/>
          <w:color w:val="auto"/>
        </w:rPr>
      </w:pPr>
      <w:r>
        <w:rPr>
          <w:rFonts w:ascii="Times New Roman" w:cs="Times New Roman" w:eastAsia="Times New Roman" w:hAnsi="Times New Roman"/>
          <w:sz w:val="18"/>
          <w:szCs w:val="18"/>
          <w:color w:val="auto"/>
        </w:rPr>
        <w:t>Our amended and restated bylaws provide that we will indemnify each of our directors and officers to the fullest extent permitted by the Delaware General Corporation Law. Further, we have purchased a policy of directors’ and officers’ liability insurance that insures our directors and officers against the cost of defense, settlement or payment of a judgment under certain circumstances.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Person Transaction Policy</w:t>
      </w:r>
    </w:p>
    <w:p>
      <w:pPr>
        <w:spacing w:after="0" w:line="228" w:lineRule="exact"/>
        <w:rPr>
          <w:sz w:val="20"/>
          <w:szCs w:val="20"/>
          <w:color w:val="auto"/>
        </w:rPr>
      </w:pPr>
    </w:p>
    <w:p>
      <w:pPr>
        <w:jc w:val="both"/>
        <w:ind w:right="20" w:firstLine="646"/>
        <w:spacing w:after="0" w:line="280" w:lineRule="auto"/>
        <w:rPr>
          <w:sz w:val="20"/>
          <w:szCs w:val="20"/>
          <w:color w:val="auto"/>
        </w:rPr>
      </w:pPr>
      <w:r>
        <w:rPr>
          <w:rFonts w:ascii="Times New Roman" w:cs="Times New Roman" w:eastAsia="Times New Roman" w:hAnsi="Times New Roman"/>
          <w:sz w:val="17"/>
          <w:szCs w:val="17"/>
          <w:color w:val="auto"/>
        </w:rPr>
        <w:t>On October 5, 2023, we entered into a Related Person Transaction Policy. This policy applies to any transaction in which Incannex and a director, a director’s nominee, an executive officer, any beneficial owner of at least 5% of the shares of common stock or an immediate family member of any of the foregoing are a party, and the amount involved exceeds $120,000. The policy provides that the board of directors must review the details of such transaction and approve it. If a related person transaction was not approved prior to its execution, the board of directors must either ratify the transaction or rescind it.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228" w:lineRule="exact"/>
        <w:rPr>
          <w:sz w:val="20"/>
          <w:szCs w:val="20"/>
          <w:color w:val="auto"/>
        </w:rPr>
      </w:pPr>
    </w:p>
    <w:p>
      <w:pPr>
        <w:ind w:right="60" w:firstLine="646"/>
        <w:spacing w:after="0" w:line="257" w:lineRule="auto"/>
        <w:rPr>
          <w:sz w:val="20"/>
          <w:szCs w:val="20"/>
          <w:color w:val="auto"/>
        </w:rPr>
      </w:pPr>
      <w:r>
        <w:rPr>
          <w:rFonts w:ascii="Times New Roman" w:cs="Times New Roman" w:eastAsia="Times New Roman" w:hAnsi="Times New Roman"/>
          <w:sz w:val="18"/>
          <w:szCs w:val="18"/>
          <w:color w:val="auto"/>
        </w:rPr>
        <w:t>Rule 5605 of the Nasdaq Listing Rules requires a majority of a listed company’s board of directors to be comprised of independent directors. In addition, the Nasdaq Listing Rules require that, subject to specified exceptions, each member of a listed company’s audit, compensation, and nominating and corporate governance committees be independent under the Exchange Act. Under Rule 5605(a)(2), a director will only qualify as an “independent director” if, in the opinion of our board of directors, that person does not have a relationship that would interfere with the exercise of independent judgment in carrying out the responsibilities of a director.</w:t>
      </w:r>
    </w:p>
    <w:p>
      <w:pPr>
        <w:spacing w:after="0" w:line="185" w:lineRule="exact"/>
        <w:rPr>
          <w:sz w:val="20"/>
          <w:szCs w:val="20"/>
          <w:color w:val="auto"/>
        </w:rPr>
      </w:pPr>
    </w:p>
    <w:p>
      <w:pPr>
        <w:ind w:right="60" w:firstLine="646"/>
        <w:spacing w:after="0" w:line="260" w:lineRule="auto"/>
        <w:rPr>
          <w:sz w:val="20"/>
          <w:szCs w:val="20"/>
          <w:color w:val="auto"/>
        </w:rPr>
      </w:pPr>
      <w:r>
        <w:rPr>
          <w:rFonts w:ascii="Times New Roman" w:cs="Times New Roman" w:eastAsia="Times New Roman" w:hAnsi="Times New Roman"/>
          <w:sz w:val="18"/>
          <w:szCs w:val="18"/>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(1) accept, directly or indirectly, any consulting, advisory, or other compensatory fee from the listed company or any of its subsidiaries; or (2) be an affiliated person of the listed company or any of its subsidiaries.</w:t>
      </w:r>
    </w:p>
    <w:p>
      <w:pPr>
        <w:spacing w:after="0" w:line="181" w:lineRule="exact"/>
        <w:rPr>
          <w:sz w:val="20"/>
          <w:szCs w:val="20"/>
          <w:color w:val="auto"/>
        </w:rPr>
      </w:pPr>
    </w:p>
    <w:p>
      <w:pPr>
        <w:ind w:right="40" w:firstLine="646"/>
        <w:spacing w:after="0" w:line="256" w:lineRule="auto"/>
        <w:rPr>
          <w:sz w:val="20"/>
          <w:szCs w:val="20"/>
          <w:color w:val="auto"/>
        </w:rPr>
      </w:pPr>
      <w:r>
        <w:rPr>
          <w:rFonts w:ascii="Times New Roman" w:cs="Times New Roman" w:eastAsia="Times New Roman" w:hAnsi="Times New Roman"/>
          <w:sz w:val="18"/>
          <w:szCs w:val="18"/>
          <w:color w:val="auto"/>
        </w:rPr>
        <w:t>Compensation committee members must also satisfy the independence criteria set forth in Rule 10C-1 under the Exchange Act. In order to be considered independent for purposes of Rule 10C-1, a board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the source of compensation of the director, including any consulting advisory or other compensatory fee paid by such company to the director; and whether the director is affiliated with the company or any of its subsidiaries or affiliates.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29" w:name="page130"/>
    <w:bookmarkEnd w:id="129"/>
    <w:p>
      <w:pPr>
        <w:ind w:right="180" w:firstLine="646"/>
        <w:spacing w:after="0" w:line="257" w:lineRule="auto"/>
        <w:rPr>
          <w:sz w:val="20"/>
          <w:szCs w:val="20"/>
          <w:color w:val="auto"/>
        </w:rPr>
      </w:pPr>
      <w:r>
        <w:rPr>
          <w:rFonts w:ascii="Times New Roman" w:cs="Times New Roman" w:eastAsia="Times New Roman" w:hAnsi="Times New Roman"/>
          <w:sz w:val="18"/>
          <w:szCs w:val="18"/>
          <w:color w:val="auto"/>
        </w:rPr>
        <w:t>Our board of directors currently consists of five members. Our board of directors has determined Robert Clark and George Anastassov are “independent directors” as defined under Rule 5606(a)(2) of the Nasdaq Listing Rules. Our board of directors determined that Robert Clark, who is a member of our audit committee and compensation committee, satisfies the independence standards for such committees established by the SEC and the Nasdaq Listing Rules, as applicable. Troy Valentine and Peter Widdows, who are members of our audit committee and compensation committee, and Joel Latham are not independent under the applicable rules of the SEC and Nasdaq.</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8" w:lineRule="exact"/>
        <w:rPr>
          <w:sz w:val="20"/>
          <w:szCs w:val="20"/>
          <w:color w:val="auto"/>
        </w:rPr>
      </w:pPr>
    </w:p>
    <w:p>
      <w:pPr>
        <w:ind w:right="180" w:firstLine="646"/>
        <w:spacing w:after="0" w:line="257" w:lineRule="auto"/>
        <w:rPr>
          <w:sz w:val="20"/>
          <w:szCs w:val="20"/>
          <w:color w:val="auto"/>
        </w:rPr>
      </w:pPr>
      <w:r>
        <w:rPr>
          <w:rFonts w:ascii="Times New Roman" w:cs="Times New Roman" w:eastAsia="Times New Roman" w:hAnsi="Times New Roman"/>
          <w:sz w:val="18"/>
          <w:szCs w:val="18"/>
          <w:color w:val="auto"/>
        </w:rPr>
        <w:t>Our independent registered public accounting firm is Grant Thornton Audit Pty Ltd, Perth, Western Australia, Auditor Firm ID: 2233 (“Grant Thornton”). Grant Thornton served as our independent public accounting firm for the fiscal year ended June 30, 2024, beginning in November 2023. PKF Brisbane Pty Ltd (“PKF Brisbane”) served as our independent registered public accounting firm for the fiscal year ended June 30, 2023 and for the fiscal year ended June 30, 2024 until November 2023. The following table presents fees for professional services rendered by Grant Thornton for the fiscal year ended June 30, 2024 and by PKF Brisbane for the fiscal years ended June 30, 2024 and 2023.</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Fiscal Year</w:t>
            </w:r>
          </w:p>
        </w:tc>
      </w:tr>
      <w:tr>
        <w:trPr>
          <w:trHeight w:val="215"/>
        </w:trPr>
        <w:tc>
          <w:tcPr>
            <w:tcW w:w="46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5"/>
        </w:trPr>
        <w:tc>
          <w:tcPr>
            <w:tcW w:w="46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8"/>
              </w:rPr>
              <w:t>Fiscal Year ended</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466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4"/>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June 30, 2024</w:t>
            </w:r>
          </w:p>
        </w:tc>
        <w:tc>
          <w:tcPr>
            <w:tcW w:w="50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197"/>
        </w:trPr>
        <w:tc>
          <w:tcPr>
            <w:tcW w:w="46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60"/>
              <w:spacing w:after="0" w:line="197" w:lineRule="exact"/>
              <w:rPr>
                <w:sz w:val="20"/>
                <w:szCs w:val="20"/>
                <w:color w:val="auto"/>
              </w:rPr>
            </w:pPr>
            <w:r>
              <w:rPr>
                <w:rFonts w:ascii="Times New Roman" w:cs="Times New Roman" w:eastAsia="Times New Roman" w:hAnsi="Times New Roman"/>
                <w:sz w:val="18"/>
                <w:szCs w:val="18"/>
                <w:b w:val="1"/>
                <w:bCs w:val="1"/>
                <w:color w:val="auto"/>
              </w:rPr>
              <w:t>Grant</w:t>
            </w: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81"/>
        </w:trPr>
        <w:tc>
          <w:tcPr>
            <w:tcW w:w="4660" w:type="dxa"/>
            <w:vAlign w:val="bottom"/>
            <w:tcBorders>
              <w:bottom w:val="single" w:sz="8" w:color="CCEEFF"/>
            </w:tcBorders>
          </w:tcPr>
          <w:p>
            <w:pPr>
              <w:spacing w:after="0"/>
              <w:rPr>
                <w:sz w:val="24"/>
                <w:szCs w:val="24"/>
                <w:color w:val="auto"/>
              </w:rPr>
            </w:pPr>
          </w:p>
        </w:tc>
        <w:tc>
          <w:tcPr>
            <w:tcW w:w="29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10"/>
              <w:spacing w:after="0" w:line="274" w:lineRule="exact"/>
              <w:rPr>
                <w:sz w:val="20"/>
                <w:szCs w:val="20"/>
                <w:color w:val="auto"/>
              </w:rPr>
            </w:pPr>
            <w:r>
              <w:rPr>
                <w:rFonts w:ascii="Times New Roman" w:cs="Times New Roman" w:eastAsia="Times New Roman" w:hAnsi="Times New Roman"/>
                <w:sz w:val="18"/>
                <w:szCs w:val="18"/>
                <w:b w:val="1"/>
                <w:bCs w:val="1"/>
                <w:color w:val="auto"/>
                <w:w w:val="95"/>
              </w:rPr>
              <w:t>Thornton</w:t>
            </w:r>
            <w:r>
              <w:rPr>
                <w:rFonts w:ascii="Times New Roman" w:cs="Times New Roman" w:eastAsia="Times New Roman" w:hAnsi="Times New Roman"/>
                <w:sz w:val="29"/>
                <w:szCs w:val="29"/>
                <w:b w:val="1"/>
                <w:bCs w:val="1"/>
                <w:color w:val="auto"/>
                <w:w w:val="95"/>
                <w:vertAlign w:val="superscript"/>
              </w:rPr>
              <w:t>(2)</w:t>
            </w: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PKF Brisbane</w:t>
            </w: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PKF Brisbane</w:t>
            </w:r>
          </w:p>
        </w:tc>
        <w:tc>
          <w:tcPr>
            <w:tcW w:w="100" w:type="dxa"/>
            <w:vAlign w:val="bottom"/>
            <w:tcBorders>
              <w:bottom w:val="single" w:sz="8" w:color="CCEEFF"/>
            </w:tcBorders>
          </w:tcPr>
          <w:p>
            <w:pPr>
              <w:spacing w:after="0"/>
              <w:rPr>
                <w:sz w:val="24"/>
                <w:szCs w:val="24"/>
                <w:color w:val="auto"/>
              </w:rPr>
            </w:pPr>
          </w:p>
        </w:tc>
      </w:tr>
      <w:tr>
        <w:trPr>
          <w:trHeight w:val="242"/>
        </w:trPr>
        <w:tc>
          <w:tcPr>
            <w:tcW w:w="4660" w:type="dxa"/>
            <w:vAlign w:val="bottom"/>
            <w:shd w:val="clear" w:color="auto" w:fill="CCEEFF"/>
          </w:tcPr>
          <w:p>
            <w:pPr>
              <w:spacing w:after="0" w:line="242"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8"/>
                <w:szCs w:val="28"/>
                <w:color w:val="auto"/>
                <w:vertAlign w:val="superscript"/>
              </w:rPr>
              <w:t>(1)</w:t>
            </w:r>
          </w:p>
        </w:tc>
        <w:tc>
          <w:tcPr>
            <w:tcW w:w="3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423,506</w:t>
            </w:r>
          </w:p>
        </w:tc>
        <w:tc>
          <w:tcPr>
            <w:tcW w:w="6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6"/>
              </w:rPr>
              <w:t>70,946</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145,263</w:t>
            </w:r>
          </w:p>
        </w:tc>
      </w:tr>
      <w:tr>
        <w:trPr>
          <w:trHeight w:val="256"/>
        </w:trPr>
        <w:tc>
          <w:tcPr>
            <w:tcW w:w="46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Audited-Related Fees</w:t>
            </w:r>
            <w:r>
              <w:rPr>
                <w:rFonts w:ascii="Times New Roman" w:cs="Times New Roman" w:eastAsia="Times New Roman" w:hAnsi="Times New Roman"/>
                <w:sz w:val="29"/>
                <w:szCs w:val="29"/>
                <w:color w:val="auto"/>
                <w:vertAlign w:val="superscript"/>
              </w:rPr>
              <w:t>(3)</w:t>
            </w:r>
          </w:p>
        </w:tc>
        <w:tc>
          <w:tcPr>
            <w:tcW w:w="2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6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9"/>
                <w:szCs w:val="29"/>
                <w:color w:val="auto"/>
                <w:vertAlign w:val="superscript"/>
              </w:rPr>
              <w:t>(4)</w:t>
            </w:r>
          </w:p>
        </w:tc>
        <w:tc>
          <w:tcPr>
            <w:tcW w:w="2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393"/>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9"/>
                <w:szCs w:val="29"/>
                <w:color w:val="auto"/>
                <w:vertAlign w:val="superscript"/>
              </w:rPr>
              <w:t>(5)</w:t>
            </w:r>
          </w:p>
        </w:tc>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78752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87525" cy="17145"/>
                    </a:xfrm>
                    <a:prstGeom prst="rect">
                      <a:avLst/>
                    </a:prstGeom>
                    <a:noFill/>
                  </pic:spPr>
                </pic:pic>
              </a:graphicData>
            </a:graphic>
          </wp:anchor>
        </w:drawing>
      </w:r>
    </w:p>
    <w:p>
      <w:pPr>
        <w:spacing w:after="0" w:line="80" w:lineRule="exact"/>
        <w:rPr>
          <w:sz w:val="20"/>
          <w:szCs w:val="20"/>
          <w:color w:val="auto"/>
        </w:rPr>
      </w:pPr>
    </w:p>
    <w:p>
      <w:pPr>
        <w:ind w:left="380" w:right="60" w:hanging="318"/>
        <w:spacing w:after="0" w:line="260" w:lineRule="auto"/>
        <w:tabs>
          <w:tab w:leader="none" w:pos="3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disclosed were paid in Australian dollars and then converted to US dollars for purposes of reporting using an exchange rate at June 30 of the relevant fiscal year, as published by the Reserve Bank of Australia.</w:t>
      </w:r>
    </w:p>
    <w:p>
      <w:pPr>
        <w:ind w:left="380" w:hanging="318"/>
        <w:spacing w:after="0"/>
        <w:tabs>
          <w:tab w:leader="none" w:pos="3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fees paid to Grant Thornton relate to the auditing of the fiscal years ended June 30, 2024, 2023 and 2022.</w:t>
      </w:r>
    </w:p>
    <w:p>
      <w:pPr>
        <w:spacing w:after="0" w:line="8" w:lineRule="exact"/>
        <w:rPr>
          <w:rFonts w:ascii="Times New Roman" w:cs="Times New Roman" w:eastAsia="Times New Roman" w:hAnsi="Times New Roman"/>
          <w:sz w:val="18"/>
          <w:szCs w:val="18"/>
          <w:color w:val="auto"/>
        </w:rPr>
      </w:pPr>
    </w:p>
    <w:p>
      <w:pPr>
        <w:ind w:left="380" w:right="480" w:hanging="318"/>
        <w:spacing w:after="0" w:line="249" w:lineRule="auto"/>
        <w:tabs>
          <w:tab w:leader="none" w:pos="3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related fees consisted principally of fees related to the annual audit and the quarterly reviews, but outside the scope of the audit committee approved audit and agreed upon procedure.</w:t>
      </w:r>
    </w:p>
    <w:p>
      <w:pPr>
        <w:spacing w:after="0" w:line="1"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principally of assistance with matters related to tax compliance and reporting, tax advice, and tax planning.</w:t>
      </w:r>
    </w:p>
    <w:p>
      <w:pPr>
        <w:spacing w:after="0" w:line="8" w:lineRule="exact"/>
        <w:rPr>
          <w:rFonts w:ascii="Times New Roman" w:cs="Times New Roman" w:eastAsia="Times New Roman" w:hAnsi="Times New Roman"/>
          <w:sz w:val="18"/>
          <w:szCs w:val="18"/>
          <w:color w:val="auto"/>
        </w:rPr>
      </w:pPr>
    </w:p>
    <w:p>
      <w:pPr>
        <w:ind w:left="380" w:hanging="318"/>
        <w:spacing w:after="0"/>
        <w:tabs>
          <w:tab w:leader="none" w:pos="3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consist principally of all other permissible work performed by Grant Thornton that does not meet the above category descriptions.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8" w:lineRule="exact"/>
        <w:rPr>
          <w:sz w:val="20"/>
          <w:szCs w:val="20"/>
          <w:color w:val="auto"/>
        </w:rPr>
      </w:pPr>
    </w:p>
    <w:p>
      <w:pPr>
        <w:ind w:right="140" w:firstLine="646"/>
        <w:spacing w:after="0" w:line="257" w:lineRule="auto"/>
        <w:rPr>
          <w:sz w:val="20"/>
          <w:szCs w:val="20"/>
          <w:color w:val="auto"/>
        </w:rPr>
      </w:pPr>
      <w:r>
        <w:rPr>
          <w:rFonts w:ascii="Times New Roman" w:cs="Times New Roman" w:eastAsia="Times New Roman" w:hAnsi="Times New Roman"/>
          <w:sz w:val="18"/>
          <w:szCs w:val="18"/>
          <w:color w:val="auto"/>
        </w:rPr>
        <w:t>Our audit committee has adopted policies and procedures for the pre-approval of audit and non-audit services rendered by our independent registered public accounting firm. Pre-approval of an audit or non-audit service may be given as a general pre-approval, as part of the audit committee’s approval of the scope of the engagement of our independent registered public accounting firm, or on an individual basis. Any proposed services exceeding general pre-approved levels also requires specific pre-approval by our audit committee. All of the fees described above were pre-approved by the board of directors prior to our listing on the Nasdaq Global Market and by the audit committee after our listing on the Nasdaq Global Market.</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130" w:name="page131"/>
    <w:bookmarkEnd w:id="130"/>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Exhibits and Financial Statement Schedules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(a)(1)</w:t>
      </w:r>
    </w:p>
    <w:p>
      <w:pPr>
        <w:spacing w:after="0" w:line="224" w:lineRule="exact"/>
        <w:rPr>
          <w:sz w:val="20"/>
          <w:szCs w:val="20"/>
          <w:color w:val="auto"/>
        </w:rPr>
      </w:pPr>
    </w:p>
    <w:p>
      <w:pPr>
        <w:ind w:right="120" w:firstLine="646"/>
        <w:spacing w:after="0" w:line="281"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financial statements and notes thereto listed in Item 8 of Part II and included in this Annual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(a)(2) Financial Statement Schedules.</w:t>
      </w:r>
    </w:p>
    <w:p>
      <w:pPr>
        <w:spacing w:after="0" w:line="224" w:lineRule="exact"/>
        <w:rPr>
          <w:sz w:val="20"/>
          <w:szCs w:val="20"/>
          <w:color w:val="auto"/>
        </w:rPr>
      </w:pPr>
    </w:p>
    <w:p>
      <w:pPr>
        <w:ind w:right="580" w:firstLine="646"/>
        <w:spacing w:after="0" w:line="281"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not required or the information required is shown in the financial statements or the notes thereto.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(a)(3) Exhibits</w:t>
      </w:r>
    </w:p>
    <w:p>
      <w:pPr>
        <w:spacing w:after="0" w:line="224" w:lineRule="exact"/>
        <w:rPr>
          <w:sz w:val="20"/>
          <w:szCs w:val="20"/>
          <w:color w:val="auto"/>
        </w:rPr>
      </w:pPr>
    </w:p>
    <w:p>
      <w:pPr>
        <w:ind w:right="560" w:firstLine="646"/>
        <w:spacing w:after="0" w:line="281" w:lineRule="auto"/>
        <w:rPr>
          <w:sz w:val="20"/>
          <w:szCs w:val="20"/>
          <w:color w:val="auto"/>
        </w:rPr>
      </w:pPr>
      <w:r>
        <w:rPr>
          <w:rFonts w:ascii="Times New Roman" w:cs="Times New Roman" w:eastAsia="Times New Roman" w:hAnsi="Times New Roman"/>
          <w:sz w:val="18"/>
          <w:szCs w:val="18"/>
          <w:color w:val="auto"/>
        </w:rPr>
        <w:t>The following is a list of exhibits filed, furnished or incorporated by reference as part of this Annual Report. Exhibits which are incorporated herein by reference can be obtained on the SEC website at www.sec.gov.</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8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04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tcBorders>
            <w:shd w:val="clear" w:color="auto" w:fill="CCEEFF"/>
          </w:tcPr>
          <w:p>
            <w:pPr>
              <w:spacing w:after="0"/>
              <w:rPr>
                <w:sz w:val="14"/>
                <w:szCs w:val="14"/>
                <w:color w:val="auto"/>
              </w:rPr>
            </w:pPr>
          </w:p>
        </w:tc>
        <w:tc>
          <w:tcPr>
            <w:tcW w:w="10180" w:type="dxa"/>
            <w:vAlign w:val="bottom"/>
            <w:tcBorders>
              <w:top w:val="single" w:sz="8" w:color="auto"/>
              <w:right w:val="single" w:sz="8" w:color="CCEEFF"/>
            </w:tcBorders>
            <w:gridSpan w:val="21"/>
            <w:shd w:val="clear" w:color="auto" w:fill="CCEEFF"/>
          </w:tcPr>
          <w:p>
            <w:pPr>
              <w:spacing w:after="0" w:line="169"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Deed of Amendment and Restatement to Scheme Implementation Deed, dated September 13, 2023, between Incannex Healthcare Limited</w:t>
              </w:r>
            </w:hyperlink>
          </w:p>
        </w:tc>
      </w:tr>
      <w:tr>
        <w:trPr>
          <w:trHeight w:val="20"/>
        </w:trPr>
        <w:tc>
          <w:tcPr>
            <w:tcW w:w="10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r>
      <w:tr>
        <w:trPr>
          <w:trHeight w:val="195"/>
        </w:trPr>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80" w:type="dxa"/>
            <w:vAlign w:val="bottom"/>
            <w:tcBorders>
              <w:right w:val="single" w:sz="8" w:color="CCEEFF"/>
            </w:tcBorders>
            <w:gridSpan w:val="21"/>
            <w:shd w:val="clear" w:color="auto" w:fill="CCEEFF"/>
          </w:tcPr>
          <w:p>
            <w:pPr>
              <w:spacing w:after="0" w:line="195" w:lineRule="exact"/>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and Incannex Healthcare Inc. (incorporated by reference to Exhibit 2.1 of the Company’s Current Report on Form 8-K filed with the SEC on</w:t>
              </w:r>
            </w:hyperlink>
          </w:p>
        </w:tc>
      </w:tr>
      <w:tr>
        <w:trPr>
          <w:trHeight w:val="195"/>
        </w:trPr>
        <w:tc>
          <w:tcPr>
            <w:tcW w:w="10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180" w:type="dxa"/>
            <w:vAlign w:val="bottom"/>
            <w:tcBorders>
              <w:top w:val="single" w:sz="8" w:color="0000EE"/>
              <w:right w:val="single" w:sz="8" w:color="CCEEFF"/>
            </w:tcBorders>
            <w:gridSpan w:val="21"/>
            <w:shd w:val="clear" w:color="auto" w:fill="CCEEFF"/>
          </w:tcPr>
          <w:p>
            <w:pPr>
              <w:spacing w:after="0" w:line="195" w:lineRule="exact"/>
              <w:rPr>
                <w:rFonts w:ascii="Times New Roman" w:cs="Times New Roman" w:eastAsia="Times New Roman" w:hAnsi="Times New Roman"/>
                <w:sz w:val="18"/>
                <w:szCs w:val="18"/>
                <w:color w:val="0000EE"/>
              </w:rPr>
            </w:pPr>
            <w:hyperlink r:id="rId158">
              <w:r>
                <w:rPr>
                  <w:rFonts w:ascii="Times New Roman" w:cs="Times New Roman" w:eastAsia="Times New Roman" w:hAnsi="Times New Roman"/>
                  <w:sz w:val="18"/>
                  <w:szCs w:val="18"/>
                  <w:color w:val="0000EE"/>
                </w:rPr>
                <w:t>November 29, 2023)</w:t>
              </w:r>
            </w:hyperlink>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5"/>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5"/>
                <w:szCs w:val="15"/>
                <w:color w:val="auto"/>
              </w:rPr>
            </w:pPr>
          </w:p>
        </w:tc>
        <w:tc>
          <w:tcPr>
            <w:tcW w:w="10180" w:type="dxa"/>
            <w:vAlign w:val="bottom"/>
            <w:gridSpan w:val="21"/>
          </w:tcPr>
          <w:p>
            <w:pPr>
              <w:spacing w:after="0" w:line="176"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Amended and Restated Certificate of Incorporation, as filed with the Secretary of State of the State of Delaware on July 31, 2023</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22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5"/>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80" w:type="dxa"/>
            <w:vAlign w:val="bottom"/>
            <w:gridSpan w:val="21"/>
          </w:tcPr>
          <w:p>
            <w:pPr>
              <w:spacing w:after="0" w:line="195" w:lineRule="exact"/>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(incorporated by reference to Exhibit 3.1 of the Company’s Current Report on Form 8-K filed with the SEC on November 29, 2023)</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2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75"/>
        </w:trPr>
        <w:tc>
          <w:tcPr>
            <w:tcW w:w="10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15"/>
                <w:szCs w:val="15"/>
                <w:color w:val="auto"/>
              </w:rPr>
            </w:pPr>
          </w:p>
        </w:tc>
        <w:tc>
          <w:tcPr>
            <w:tcW w:w="9860" w:type="dxa"/>
            <w:vAlign w:val="bottom"/>
            <w:tcBorders>
              <w:bottom w:val="single" w:sz="8" w:color="0000EE"/>
            </w:tcBorders>
            <w:gridSpan w:val="19"/>
            <w:shd w:val="clear" w:color="auto" w:fill="CCEEFF"/>
          </w:tcPr>
          <w:p>
            <w:pPr>
              <w:spacing w:after="0" w:line="176" w:lineRule="exact"/>
              <w:rPr>
                <w:rFonts w:ascii="Times New Roman" w:cs="Times New Roman" w:eastAsia="Times New Roman" w:hAnsi="Times New Roman"/>
                <w:sz w:val="18"/>
                <w:szCs w:val="18"/>
                <w:color w:val="0000EE"/>
                <w:w w:val="99"/>
              </w:rPr>
            </w:pPr>
            <w:hyperlink r:id="rId160">
              <w:r>
                <w:rPr>
                  <w:rFonts w:ascii="Times New Roman" w:cs="Times New Roman" w:eastAsia="Times New Roman" w:hAnsi="Times New Roman"/>
                  <w:sz w:val="18"/>
                  <w:szCs w:val="18"/>
                  <w:color w:val="0000EE"/>
                  <w:w w:val="99"/>
                </w:rPr>
                <w:t>Amended and Restated Bylaws, dated November 20, 2023 (incorporated by reference to Exhibit 3.2 of the Company’s Current Report on</w:t>
              </w:r>
            </w:hyperlink>
          </w:p>
        </w:tc>
        <w:tc>
          <w:tcPr>
            <w:tcW w:w="320" w:type="dxa"/>
            <w:vAlign w:val="bottom"/>
            <w:tcBorders>
              <w:bottom w:val="single" w:sz="8" w:color="CCEEFF"/>
              <w:right w:val="single" w:sz="8" w:color="CCEEFF"/>
            </w:tcBorders>
            <w:gridSpan w:val="2"/>
            <w:shd w:val="clear" w:color="auto" w:fill="CCEEFF"/>
          </w:tcPr>
          <w:p>
            <w:pPr>
              <w:spacing w:after="0"/>
              <w:rPr>
                <w:sz w:val="15"/>
                <w:szCs w:val="15"/>
                <w:color w:val="auto"/>
              </w:rPr>
            </w:pPr>
          </w:p>
        </w:tc>
      </w:tr>
      <w:tr>
        <w:trPr>
          <w:trHeight w:val="195"/>
        </w:trPr>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80" w:type="dxa"/>
            <w:vAlign w:val="bottom"/>
            <w:tcBorders>
              <w:right w:val="single" w:sz="8" w:color="CCEEFF"/>
            </w:tcBorders>
            <w:gridSpan w:val="21"/>
            <w:shd w:val="clear" w:color="auto" w:fill="CCEEFF"/>
          </w:tcPr>
          <w:p>
            <w:pPr>
              <w:spacing w:after="0" w:line="195" w:lineRule="exact"/>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Form 8-K filed with the SEC on November 29, 2023)</w:t>
              </w:r>
            </w:hyperlink>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5"/>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5"/>
                <w:szCs w:val="15"/>
                <w:color w:val="auto"/>
              </w:rPr>
            </w:pPr>
          </w:p>
        </w:tc>
        <w:tc>
          <w:tcPr>
            <w:tcW w:w="9920" w:type="dxa"/>
            <w:vAlign w:val="bottom"/>
            <w:tcBorders>
              <w:bottom w:val="single" w:sz="8" w:color="0000EE"/>
            </w:tcBorders>
            <w:gridSpan w:val="20"/>
          </w:tcPr>
          <w:p>
            <w:pPr>
              <w:spacing w:after="0" w:line="176" w:lineRule="exact"/>
              <w:rPr>
                <w:rFonts w:ascii="Times New Roman" w:cs="Times New Roman" w:eastAsia="Times New Roman" w:hAnsi="Times New Roman"/>
                <w:sz w:val="18"/>
                <w:szCs w:val="18"/>
                <w:color w:val="0000EE"/>
                <w:w w:val="99"/>
              </w:rPr>
            </w:pPr>
            <w:hyperlink r:id="rId161">
              <w:r>
                <w:rPr>
                  <w:rFonts w:ascii="Times New Roman" w:cs="Times New Roman" w:eastAsia="Times New Roman" w:hAnsi="Times New Roman"/>
                  <w:sz w:val="18"/>
                  <w:szCs w:val="18"/>
                  <w:color w:val="0000EE"/>
                  <w:w w:val="99"/>
                </w:rPr>
                <w:t>Description of Securities (incorporated by reference to Exhibit 99.1 of the Company’s Current Report on Form 8-K filed with the SEC on</w:t>
              </w:r>
            </w:hyperlink>
          </w:p>
        </w:tc>
        <w:tc>
          <w:tcPr>
            <w:tcW w:w="260" w:type="dxa"/>
            <w:vAlign w:val="bottom"/>
          </w:tcPr>
          <w:p>
            <w:pPr>
              <w:spacing w:after="0"/>
              <w:rPr>
                <w:sz w:val="15"/>
                <w:szCs w:val="15"/>
                <w:color w:val="auto"/>
              </w:rPr>
            </w:pPr>
          </w:p>
        </w:tc>
      </w:tr>
      <w:tr>
        <w:trPr>
          <w:trHeight w:val="195"/>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80" w:type="dxa"/>
            <w:vAlign w:val="bottom"/>
            <w:gridSpan w:val="21"/>
          </w:tcPr>
          <w:p>
            <w:pPr>
              <w:spacing w:after="0" w:line="195" w:lineRule="exact"/>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November 29, 2023)</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75"/>
        </w:trPr>
        <w:tc>
          <w:tcPr>
            <w:tcW w:w="10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shd w:val="clear" w:color="auto" w:fill="CCEEFF"/>
          </w:tcPr>
          <w:p>
            <w:pPr>
              <w:spacing w:after="0"/>
              <w:rPr>
                <w:sz w:val="15"/>
                <w:szCs w:val="15"/>
                <w:color w:val="auto"/>
              </w:rPr>
            </w:pPr>
          </w:p>
        </w:tc>
        <w:tc>
          <w:tcPr>
            <w:tcW w:w="982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Form of Warrant Agency Agreement, by and among Incannex Healthcare Inc., Computershare Inc., and its affiliate Computershare Trust</w:t>
            </w:r>
          </w:p>
        </w:tc>
        <w:tc>
          <w:tcPr>
            <w:tcW w:w="360" w:type="dxa"/>
            <w:vAlign w:val="bottom"/>
            <w:tcBorders>
              <w:bottom w:val="single" w:sz="8" w:color="CCEEFF"/>
              <w:right w:val="single" w:sz="8" w:color="CCEEFF"/>
            </w:tcBorders>
            <w:gridSpan w:val="4"/>
            <w:shd w:val="clear" w:color="auto" w:fill="CCEEFF"/>
          </w:tcPr>
          <w:p>
            <w:pPr>
              <w:spacing w:after="0"/>
              <w:rPr>
                <w:sz w:val="15"/>
                <w:szCs w:val="15"/>
                <w:color w:val="auto"/>
              </w:rPr>
            </w:pPr>
          </w:p>
        </w:tc>
      </w:tr>
      <w:tr>
        <w:trPr>
          <w:trHeight w:val="216"/>
        </w:trPr>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100" w:type="dxa"/>
            <w:vAlign w:val="bottom"/>
            <w:tcBorders>
              <w:bottom w:val="single" w:sz="8" w:color="0000EE"/>
            </w:tcBorders>
            <w:gridSpan w:val="5"/>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EE"/>
                <w:w w:val="98"/>
              </w:rPr>
              <w:t>Company, N.A., dated December 29, 2023.</w:t>
            </w:r>
          </w:p>
        </w:tc>
        <w:tc>
          <w:tcPr>
            <w:tcW w:w="7080" w:type="dxa"/>
            <w:vAlign w:val="bottom"/>
            <w:tcBorders>
              <w:bottom w:val="single" w:sz="8" w:color="CCEEFF"/>
              <w:right w:val="single" w:sz="8" w:color="CCEEFF"/>
            </w:tcBorders>
            <w:gridSpan w:val="16"/>
            <w:shd w:val="clear" w:color="auto" w:fill="CCEEFF"/>
          </w:tcPr>
          <w:p>
            <w:pPr>
              <w:spacing w:after="0"/>
              <w:rPr>
                <w:sz w:val="18"/>
                <w:szCs w:val="18"/>
                <w:color w:val="auto"/>
              </w:rPr>
            </w:pPr>
          </w:p>
        </w:tc>
      </w:tr>
      <w:tr>
        <w:trPr>
          <w:trHeight w:val="175"/>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10180" w:type="dxa"/>
            <w:vAlign w:val="bottom"/>
            <w:tcBorders>
              <w:bottom w:val="single" w:sz="8" w:color="0000EE"/>
            </w:tcBorders>
            <w:gridSpan w:val="21"/>
          </w:tcPr>
          <w:p>
            <w:pPr>
              <w:spacing w:after="0" w:line="176" w:lineRule="exact"/>
              <w:rPr>
                <w:rFonts w:ascii="Times New Roman" w:cs="Times New Roman" w:eastAsia="Times New Roman" w:hAnsi="Times New Roman"/>
                <w:sz w:val="18"/>
                <w:szCs w:val="18"/>
                <w:color w:val="0000EE"/>
                <w:w w:val="99"/>
              </w:rPr>
            </w:pPr>
            <w:hyperlink r:id="rId162">
              <w:r>
                <w:rPr>
                  <w:rFonts w:ascii="Times New Roman" w:cs="Times New Roman" w:eastAsia="Times New Roman" w:hAnsi="Times New Roman"/>
                  <w:sz w:val="18"/>
                  <w:szCs w:val="18"/>
                  <w:color w:val="0000EE"/>
                  <w:w w:val="99"/>
                </w:rPr>
                <w:t>Employment Agreement between Incannex Healthcare Limited and Joel Latham, dated July 1, 2020 (incorporated by reference to Exhibit 4.1</w:t>
              </w:r>
            </w:hyperlink>
          </w:p>
        </w:tc>
      </w:tr>
      <w:tr>
        <w:trPr>
          <w:trHeight w:val="195"/>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80" w:type="dxa"/>
            <w:vAlign w:val="bottom"/>
            <w:gridSpan w:val="21"/>
          </w:tcPr>
          <w:p>
            <w:pPr>
              <w:spacing w:after="0" w:line="195" w:lineRule="exact"/>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to the Company’s Registration Statement on Form 20-F, File No. 001-41106, filed with the SEC on January 25, 2022)</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2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75"/>
        </w:trPr>
        <w:tc>
          <w:tcPr>
            <w:tcW w:w="10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5"/>
                <w:szCs w:val="15"/>
                <w:color w:val="auto"/>
              </w:rPr>
            </w:pPr>
          </w:p>
        </w:tc>
        <w:tc>
          <w:tcPr>
            <w:tcW w:w="10180" w:type="dxa"/>
            <w:vAlign w:val="bottom"/>
            <w:tcBorders>
              <w:right w:val="single" w:sz="8" w:color="CCEEFF"/>
            </w:tcBorders>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Share Sale and Purchase Agreement between Incannex Healthcare Limited and the sellers of APIRx Pharmaceutical USA, LLC, dated May</w:t>
              </w:r>
            </w:hyperlink>
          </w:p>
        </w:tc>
      </w:tr>
      <w:tr>
        <w:trPr>
          <w:trHeight w:val="20"/>
        </w:trPr>
        <w:tc>
          <w:tcPr>
            <w:tcW w:w="10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800" w:type="dxa"/>
            <w:vAlign w:val="bottom"/>
            <w:gridSpan w:val="2"/>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gridSpan w:val="3"/>
            <w:shd w:val="clear" w:color="auto" w:fill="0000EE"/>
          </w:tcPr>
          <w:p>
            <w:pPr>
              <w:spacing w:after="0" w:line="20" w:lineRule="exact"/>
              <w:rPr>
                <w:sz w:val="1"/>
                <w:szCs w:val="1"/>
                <w:color w:val="auto"/>
              </w:rPr>
            </w:pPr>
          </w:p>
        </w:tc>
      </w:tr>
      <w:tr>
        <w:trPr>
          <w:trHeight w:val="195"/>
        </w:trPr>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80" w:type="dxa"/>
            <w:vAlign w:val="bottom"/>
            <w:tcBorders>
              <w:right w:val="single" w:sz="8" w:color="CCEEFF"/>
            </w:tcBorders>
            <w:gridSpan w:val="21"/>
            <w:shd w:val="clear" w:color="auto" w:fill="CCEEFF"/>
          </w:tcPr>
          <w:p>
            <w:pPr>
              <w:spacing w:after="0" w:line="195" w:lineRule="exact"/>
              <w:rPr>
                <w:rFonts w:ascii="Times New Roman" w:cs="Times New Roman" w:eastAsia="Times New Roman" w:hAnsi="Times New Roman"/>
                <w:sz w:val="18"/>
                <w:szCs w:val="18"/>
                <w:color w:val="0000EE"/>
                <w:w w:val="99"/>
              </w:rPr>
            </w:pPr>
            <w:hyperlink r:id="rId163">
              <w:r>
                <w:rPr>
                  <w:rFonts w:ascii="Times New Roman" w:cs="Times New Roman" w:eastAsia="Times New Roman" w:hAnsi="Times New Roman"/>
                  <w:sz w:val="18"/>
                  <w:szCs w:val="18"/>
                  <w:color w:val="0000EE"/>
                  <w:w w:val="99"/>
                </w:rPr>
                <w:t>12, 2022. (incorporated by reference to Exhibit 4.11 to the Company’s Annual Report on Form 20-F, File No. 001-41106, filed with the SEC</w:t>
              </w:r>
            </w:hyperlink>
          </w:p>
        </w:tc>
      </w:tr>
      <w:tr>
        <w:trPr>
          <w:trHeight w:val="195"/>
        </w:trPr>
        <w:tc>
          <w:tcPr>
            <w:tcW w:w="10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180" w:type="dxa"/>
            <w:vAlign w:val="bottom"/>
            <w:tcBorders>
              <w:top w:val="single" w:sz="8" w:color="0000EE"/>
              <w:right w:val="single" w:sz="8" w:color="CCEEFF"/>
            </w:tcBorders>
            <w:gridSpan w:val="21"/>
            <w:shd w:val="clear" w:color="auto" w:fill="CCEEFF"/>
          </w:tcPr>
          <w:p>
            <w:pPr>
              <w:spacing w:after="0" w:line="195" w:lineRule="exact"/>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on October 28, 2022)</w:t>
              </w:r>
            </w:hyperlink>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5"/>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5"/>
                <w:szCs w:val="15"/>
                <w:color w:val="auto"/>
              </w:rPr>
            </w:pPr>
          </w:p>
        </w:tc>
        <w:tc>
          <w:tcPr>
            <w:tcW w:w="10180" w:type="dxa"/>
            <w:vAlign w:val="bottom"/>
            <w:gridSpan w:val="21"/>
          </w:tcPr>
          <w:p>
            <w:pPr>
              <w:spacing w:after="0" w:line="176"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Service Agreement between Incannex Healthcare Limited and Lekhram Changoer, dated August 5, 2022 (incorporated by reference to</w:t>
              </w:r>
            </w:hyperlink>
          </w:p>
        </w:tc>
      </w:tr>
      <w:tr>
        <w:trPr>
          <w:trHeight w:val="195"/>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40" w:type="dxa"/>
            <w:vAlign w:val="bottom"/>
            <w:tcBorders>
              <w:top w:val="single" w:sz="8" w:color="0000EE"/>
            </w:tcBorders>
            <w:gridSpan w:val="15"/>
          </w:tcPr>
          <w:p>
            <w:pPr>
              <w:spacing w:after="0" w:line="195" w:lineRule="exact"/>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Exhibit 4.12 to the Company’s Annual Report on Form 20-F, File No. 001-41106, filed with the SEC on October 31, 2023)</w:t>
              </w:r>
            </w:hyperlink>
          </w:p>
        </w:tc>
        <w:tc>
          <w:tcPr>
            <w:tcW w:w="540" w:type="dxa"/>
            <w:vAlign w:val="bottom"/>
            <w:gridSpan w:val="6"/>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2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75"/>
        </w:trPr>
        <w:tc>
          <w:tcPr>
            <w:tcW w:w="10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5"/>
                <w:szCs w:val="15"/>
                <w:color w:val="auto"/>
              </w:rPr>
            </w:pPr>
          </w:p>
        </w:tc>
        <w:tc>
          <w:tcPr>
            <w:tcW w:w="10180" w:type="dxa"/>
            <w:vAlign w:val="bottom"/>
            <w:tcBorders>
              <w:right w:val="single" w:sz="8" w:color="CCEEFF"/>
            </w:tcBorders>
            <w:gridSpan w:val="21"/>
            <w:shd w:val="clear" w:color="auto" w:fill="CCEEFF"/>
          </w:tcPr>
          <w:p>
            <w:pPr>
              <w:spacing w:after="0" w:line="176" w:lineRule="exact"/>
              <w:rPr>
                <w:rFonts w:ascii="Times New Roman" w:cs="Times New Roman" w:eastAsia="Times New Roman" w:hAnsi="Times New Roman"/>
                <w:sz w:val="18"/>
                <w:szCs w:val="18"/>
                <w:color w:val="0000EE"/>
                <w:w w:val="99"/>
              </w:rPr>
            </w:pPr>
            <w:hyperlink r:id="rId165">
              <w:r>
                <w:rPr>
                  <w:rFonts w:ascii="Times New Roman" w:cs="Times New Roman" w:eastAsia="Times New Roman" w:hAnsi="Times New Roman"/>
                  <w:sz w:val="18"/>
                  <w:szCs w:val="18"/>
                  <w:color w:val="0000EE"/>
                  <w:w w:val="99"/>
                </w:rPr>
                <w:t>Form of Indemnification Agreement (incorporated by reference to Exhibit 10.1 of the Company’s Current Report on Form 8-K filed with the</w:t>
              </w:r>
            </w:hyperlink>
          </w:p>
        </w:tc>
      </w:tr>
      <w:tr>
        <w:trPr>
          <w:trHeight w:val="195"/>
        </w:trPr>
        <w:tc>
          <w:tcPr>
            <w:tcW w:w="10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180" w:type="dxa"/>
            <w:vAlign w:val="bottom"/>
            <w:tcBorders>
              <w:top w:val="single" w:sz="8" w:color="0000EE"/>
              <w:right w:val="single" w:sz="8" w:color="CCEEFF"/>
            </w:tcBorders>
            <w:gridSpan w:val="21"/>
            <w:shd w:val="clear" w:color="auto" w:fill="CCEEFF"/>
          </w:tcPr>
          <w:p>
            <w:pPr>
              <w:spacing w:after="0" w:line="195" w:lineRule="exact"/>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SEC on November 29, 2023)</w:t>
              </w:r>
            </w:hyperlink>
          </w:p>
        </w:tc>
      </w:tr>
      <w:tr>
        <w:trPr>
          <w:trHeight w:val="20"/>
        </w:trPr>
        <w:tc>
          <w:tcPr>
            <w:tcW w:w="10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5"/>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5"/>
                <w:szCs w:val="15"/>
                <w:color w:val="auto"/>
              </w:rPr>
            </w:pPr>
          </w:p>
        </w:tc>
        <w:tc>
          <w:tcPr>
            <w:tcW w:w="10180" w:type="dxa"/>
            <w:vAlign w:val="bottom"/>
            <w:gridSpan w:val="21"/>
          </w:tcPr>
          <w:p>
            <w:pPr>
              <w:spacing w:after="0" w:line="176" w:lineRule="exact"/>
              <w:rPr>
                <w:rFonts w:ascii="Times New Roman" w:cs="Times New Roman" w:eastAsia="Times New Roman" w:hAnsi="Times New Roman"/>
                <w:sz w:val="18"/>
                <w:szCs w:val="18"/>
                <w:color w:val="0000EE"/>
                <w:w w:val="99"/>
              </w:rPr>
            </w:pPr>
            <w:hyperlink r:id="rId166">
              <w:r>
                <w:rPr>
                  <w:rFonts w:ascii="Times New Roman" w:cs="Times New Roman" w:eastAsia="Times New Roman" w:hAnsi="Times New Roman"/>
                  <w:sz w:val="18"/>
                  <w:szCs w:val="18"/>
                  <w:color w:val="0000EE"/>
                  <w:w w:val="99"/>
                </w:rPr>
                <w:t>Incannex Healthcare Inc. 2023 Equity Incentive Plan (incorporated by reference to Exhibit 10.2 of the Company’s Current Report on Form 8-</w:t>
              </w:r>
            </w:hyperlink>
          </w:p>
        </w:tc>
      </w:tr>
      <w:tr>
        <w:trPr>
          <w:trHeight w:val="195"/>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80" w:type="dxa"/>
            <w:vAlign w:val="bottom"/>
            <w:tcBorders>
              <w:top w:val="single" w:sz="8" w:color="0000EE"/>
            </w:tcBorders>
            <w:gridSpan w:val="21"/>
          </w:tcPr>
          <w:p>
            <w:pPr>
              <w:spacing w:after="0" w:line="195"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K filed with the SEC on November 29, 2023)</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75"/>
        </w:trPr>
        <w:tc>
          <w:tcPr>
            <w:tcW w:w="10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5"/>
                <w:szCs w:val="15"/>
                <w:color w:val="auto"/>
              </w:rPr>
            </w:pPr>
          </w:p>
        </w:tc>
        <w:tc>
          <w:tcPr>
            <w:tcW w:w="10180" w:type="dxa"/>
            <w:vAlign w:val="bottom"/>
            <w:tcBorders>
              <w:right w:val="single" w:sz="8" w:color="CCEEFF"/>
            </w:tcBorders>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Employment Agreement between Incannex Healthcare Limited and Joseph Swan, dated February 27, 2024 (incorporated by reference to</w:t>
              </w:r>
            </w:hyperlink>
          </w:p>
        </w:tc>
      </w:tr>
      <w:tr>
        <w:trPr>
          <w:trHeight w:val="195"/>
        </w:trPr>
        <w:tc>
          <w:tcPr>
            <w:tcW w:w="10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800" w:type="dxa"/>
            <w:vAlign w:val="bottom"/>
            <w:tcBorders>
              <w:top w:val="single" w:sz="8" w:color="0000EE"/>
            </w:tcBorders>
            <w:gridSpan w:val="16"/>
            <w:shd w:val="clear" w:color="auto" w:fill="CCEEFF"/>
          </w:tcPr>
          <w:p>
            <w:pPr>
              <w:spacing w:after="0" w:line="195" w:lineRule="exact"/>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Exhibit 10.1 of the Company’s Current Report on Form 8-K filed with the SEC on March 5, 2024)</w:t>
              </w:r>
            </w:hyperlink>
          </w:p>
        </w:tc>
        <w:tc>
          <w:tcPr>
            <w:tcW w:w="380" w:type="dxa"/>
            <w:vAlign w:val="bottom"/>
            <w:tcBorders>
              <w:top w:val="single" w:sz="8" w:color="CCEEFF"/>
              <w:right w:val="single" w:sz="8" w:color="CCEEFF"/>
            </w:tcBorders>
            <w:gridSpan w:val="5"/>
            <w:shd w:val="clear" w:color="auto" w:fill="CCEEFF"/>
          </w:tcPr>
          <w:p>
            <w:pPr>
              <w:spacing w:after="0"/>
              <w:rPr>
                <w:sz w:val="17"/>
                <w:szCs w:val="17"/>
                <w:color w:val="auto"/>
              </w:rPr>
            </w:pPr>
          </w:p>
        </w:tc>
      </w:tr>
      <w:tr>
        <w:trPr>
          <w:trHeight w:val="20"/>
        </w:trPr>
        <w:tc>
          <w:tcPr>
            <w:tcW w:w="1040" w:type="dxa"/>
            <w:vAlign w:val="bottom"/>
            <w:tcBorders>
              <w:bottom w:val="single" w:sz="8" w:color="CCEEFF"/>
            </w:tcBorders>
            <w:shd w:val="clear" w:color="auto" w:fill="CCEEFF"/>
          </w:tcPr>
          <w:p>
            <w:pPr>
              <w:spacing w:after="0" w:line="20" w:lineRule="exact"/>
              <w:rPr>
                <w:sz w:val="1"/>
                <w:szCs w:val="1"/>
                <w:color w:val="auto"/>
              </w:rPr>
            </w:pPr>
          </w:p>
        </w:tc>
        <w:tc>
          <w:tcPr>
            <w:tcW w:w="120" w:type="dxa"/>
            <w:vAlign w:val="bottom"/>
            <w:tcBorders>
              <w:bottom w:val="single" w:sz="8" w:color="CCEEFF"/>
            </w:tcBorders>
            <w:shd w:val="clear" w:color="auto" w:fill="CCEEFF"/>
          </w:tcPr>
          <w:p>
            <w:pPr>
              <w:spacing w:after="0" w:line="20" w:lineRule="exact"/>
              <w:rPr>
                <w:sz w:val="1"/>
                <w:szCs w:val="1"/>
                <w:color w:val="auto"/>
              </w:rPr>
            </w:pPr>
          </w:p>
        </w:tc>
        <w:tc>
          <w:tcPr>
            <w:tcW w:w="1480" w:type="dxa"/>
            <w:vAlign w:val="bottom"/>
            <w:tcBorders>
              <w:bottom w:val="single" w:sz="8" w:color="CCEEFF"/>
            </w:tcBorders>
            <w:shd w:val="clear" w:color="auto" w:fill="0000EE"/>
          </w:tcPr>
          <w:p>
            <w:pPr>
              <w:spacing w:after="0" w:line="20" w:lineRule="exact"/>
              <w:rPr>
                <w:sz w:val="1"/>
                <w:szCs w:val="1"/>
                <w:color w:val="auto"/>
              </w:rPr>
            </w:pPr>
          </w:p>
        </w:tc>
        <w:tc>
          <w:tcPr>
            <w:tcW w:w="40" w:type="dxa"/>
            <w:vAlign w:val="bottom"/>
            <w:tcBorders>
              <w:bottom w:val="single" w:sz="8" w:color="CCEEFF"/>
            </w:tcBorders>
            <w:shd w:val="clear" w:color="auto" w:fill="0000EE"/>
          </w:tcPr>
          <w:p>
            <w:pPr>
              <w:spacing w:after="0" w:line="20" w:lineRule="exact"/>
              <w:rPr>
                <w:sz w:val="1"/>
                <w:szCs w:val="1"/>
                <w:color w:val="auto"/>
              </w:rPr>
            </w:pPr>
          </w:p>
        </w:tc>
        <w:tc>
          <w:tcPr>
            <w:tcW w:w="560" w:type="dxa"/>
            <w:vAlign w:val="bottom"/>
            <w:tcBorders>
              <w:bottom w:val="single" w:sz="8" w:color="CCEEFF"/>
            </w:tcBorders>
            <w:shd w:val="clear" w:color="auto" w:fill="0000EE"/>
          </w:tcPr>
          <w:p>
            <w:pPr>
              <w:spacing w:after="0" w:line="20" w:lineRule="exact"/>
              <w:rPr>
                <w:sz w:val="1"/>
                <w:szCs w:val="1"/>
                <w:color w:val="auto"/>
              </w:rPr>
            </w:pPr>
          </w:p>
        </w:tc>
        <w:tc>
          <w:tcPr>
            <w:tcW w:w="480" w:type="dxa"/>
            <w:vAlign w:val="bottom"/>
            <w:tcBorders>
              <w:bottom w:val="single" w:sz="8" w:color="CCEEFF"/>
            </w:tcBorders>
            <w:shd w:val="clear" w:color="auto" w:fill="0000EE"/>
          </w:tcPr>
          <w:p>
            <w:pPr>
              <w:spacing w:after="0" w:line="20" w:lineRule="exact"/>
              <w:rPr>
                <w:sz w:val="1"/>
                <w:szCs w:val="1"/>
                <w:color w:val="auto"/>
              </w:rPr>
            </w:pPr>
          </w:p>
        </w:tc>
        <w:tc>
          <w:tcPr>
            <w:tcW w:w="540" w:type="dxa"/>
            <w:vAlign w:val="bottom"/>
            <w:tcBorders>
              <w:bottom w:val="single" w:sz="8" w:color="CCEEFF"/>
            </w:tcBorders>
            <w:shd w:val="clear" w:color="auto" w:fill="0000EE"/>
          </w:tcPr>
          <w:p>
            <w:pPr>
              <w:spacing w:after="0" w:line="20" w:lineRule="exact"/>
              <w:rPr>
                <w:sz w:val="1"/>
                <w:szCs w:val="1"/>
                <w:color w:val="auto"/>
              </w:rPr>
            </w:pPr>
          </w:p>
        </w:tc>
        <w:tc>
          <w:tcPr>
            <w:tcW w:w="160" w:type="dxa"/>
            <w:vAlign w:val="bottom"/>
            <w:tcBorders>
              <w:bottom w:val="single" w:sz="8" w:color="CCEEFF"/>
            </w:tcBorders>
            <w:shd w:val="clear" w:color="auto" w:fill="0000EE"/>
          </w:tcPr>
          <w:p>
            <w:pPr>
              <w:spacing w:after="0" w:line="20" w:lineRule="exact"/>
              <w:rPr>
                <w:sz w:val="1"/>
                <w:szCs w:val="1"/>
                <w:color w:val="auto"/>
              </w:rPr>
            </w:pPr>
          </w:p>
        </w:tc>
        <w:tc>
          <w:tcPr>
            <w:tcW w:w="580" w:type="dxa"/>
            <w:vAlign w:val="bottom"/>
            <w:tcBorders>
              <w:bottom w:val="single" w:sz="8" w:color="CCEEFF"/>
            </w:tcBorders>
            <w:shd w:val="clear" w:color="auto" w:fill="0000EE"/>
          </w:tcPr>
          <w:p>
            <w:pPr>
              <w:spacing w:after="0" w:line="20" w:lineRule="exact"/>
              <w:rPr>
                <w:sz w:val="1"/>
                <w:szCs w:val="1"/>
                <w:color w:val="auto"/>
              </w:rPr>
            </w:pPr>
          </w:p>
        </w:tc>
        <w:tc>
          <w:tcPr>
            <w:tcW w:w="3220" w:type="dxa"/>
            <w:vAlign w:val="bottom"/>
            <w:tcBorders>
              <w:bottom w:val="single" w:sz="8" w:color="CCEEFF"/>
            </w:tcBorders>
            <w:shd w:val="clear" w:color="auto" w:fill="0000EE"/>
          </w:tcPr>
          <w:p>
            <w:pPr>
              <w:spacing w:after="0" w:line="20" w:lineRule="exact"/>
              <w:rPr>
                <w:sz w:val="1"/>
                <w:szCs w:val="1"/>
                <w:color w:val="auto"/>
              </w:rPr>
            </w:pPr>
          </w:p>
        </w:tc>
        <w:tc>
          <w:tcPr>
            <w:tcW w:w="1300" w:type="dxa"/>
            <w:vAlign w:val="bottom"/>
            <w:tcBorders>
              <w:bottom w:val="single" w:sz="8" w:color="CCEEFF"/>
            </w:tcBorders>
            <w:shd w:val="clear" w:color="auto" w:fill="CCEEFF"/>
          </w:tcPr>
          <w:p>
            <w:pPr>
              <w:spacing w:after="0" w:line="20" w:lineRule="exact"/>
              <w:rPr>
                <w:sz w:val="1"/>
                <w:szCs w:val="1"/>
                <w:color w:val="auto"/>
              </w:rPr>
            </w:pPr>
          </w:p>
        </w:tc>
        <w:tc>
          <w:tcPr>
            <w:tcW w:w="80" w:type="dxa"/>
            <w:vAlign w:val="bottom"/>
            <w:tcBorders>
              <w:bottom w:val="single" w:sz="8" w:color="CCEEFF"/>
            </w:tcBorders>
            <w:shd w:val="clear" w:color="auto" w:fill="CCEEFF"/>
          </w:tcPr>
          <w:p>
            <w:pPr>
              <w:spacing w:after="0" w:line="20" w:lineRule="exact"/>
              <w:rPr>
                <w:sz w:val="1"/>
                <w:szCs w:val="1"/>
                <w:color w:val="auto"/>
              </w:rPr>
            </w:pPr>
          </w:p>
        </w:tc>
        <w:tc>
          <w:tcPr>
            <w:tcW w:w="380" w:type="dxa"/>
            <w:vAlign w:val="bottom"/>
            <w:tcBorders>
              <w:bottom w:val="single" w:sz="8" w:color="CCEEFF"/>
            </w:tcBorders>
            <w:shd w:val="clear" w:color="auto" w:fill="CCEEFF"/>
          </w:tcPr>
          <w:p>
            <w:pPr>
              <w:spacing w:after="0" w:line="20" w:lineRule="exact"/>
              <w:rPr>
                <w:sz w:val="1"/>
                <w:szCs w:val="1"/>
                <w:color w:val="auto"/>
              </w:rPr>
            </w:pPr>
          </w:p>
        </w:tc>
        <w:tc>
          <w:tcPr>
            <w:tcW w:w="440" w:type="dxa"/>
            <w:vAlign w:val="bottom"/>
            <w:tcBorders>
              <w:bottom w:val="single" w:sz="8" w:color="CCEEFF"/>
            </w:tcBorders>
            <w:shd w:val="clear" w:color="auto" w:fill="CCEEFF"/>
          </w:tcPr>
          <w:p>
            <w:pPr>
              <w:spacing w:after="0" w:line="20" w:lineRule="exact"/>
              <w:rPr>
                <w:sz w:val="1"/>
                <w:szCs w:val="1"/>
                <w:color w:val="auto"/>
              </w:rPr>
            </w:pPr>
          </w:p>
        </w:tc>
        <w:tc>
          <w:tcPr>
            <w:tcW w:w="220" w:type="dxa"/>
            <w:vAlign w:val="bottom"/>
            <w:tcBorders>
              <w:bottom w:val="single" w:sz="8" w:color="CCEEFF"/>
            </w:tcBorders>
            <w:shd w:val="clear" w:color="auto" w:fill="CCEEFF"/>
          </w:tcPr>
          <w:p>
            <w:pPr>
              <w:spacing w:after="0" w:line="20" w:lineRule="exact"/>
              <w:rPr>
                <w:sz w:val="1"/>
                <w:szCs w:val="1"/>
                <w:color w:val="auto"/>
              </w:rPr>
            </w:pPr>
          </w:p>
        </w:tc>
        <w:tc>
          <w:tcPr>
            <w:tcW w:w="100" w:type="dxa"/>
            <w:vAlign w:val="bottom"/>
            <w:tcBorders>
              <w:bottom w:val="single" w:sz="8" w:color="CCEEFF"/>
            </w:tcBorders>
            <w:shd w:val="clear" w:color="auto" w:fill="CCEEFF"/>
          </w:tcPr>
          <w:p>
            <w:pPr>
              <w:spacing w:after="0" w:line="20" w:lineRule="exact"/>
              <w:rPr>
                <w:sz w:val="1"/>
                <w:szCs w:val="1"/>
                <w:color w:val="auto"/>
              </w:rPr>
            </w:pPr>
          </w:p>
        </w:tc>
        <w:tc>
          <w:tcPr>
            <w:tcW w:w="60" w:type="dxa"/>
            <w:vAlign w:val="bottom"/>
            <w:tcBorders>
              <w:bottom w:val="single" w:sz="8" w:color="CCEEFF"/>
            </w:tcBorders>
            <w:shd w:val="clear" w:color="auto" w:fill="CCEEFF"/>
          </w:tcPr>
          <w:p>
            <w:pPr>
              <w:spacing w:after="0" w:line="20" w:lineRule="exact"/>
              <w:rPr>
                <w:sz w:val="1"/>
                <w:szCs w:val="1"/>
                <w:color w:val="auto"/>
              </w:rPr>
            </w:pPr>
          </w:p>
        </w:tc>
        <w:tc>
          <w:tcPr>
            <w:tcW w:w="16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Borders>
              <w:bottom w:val="single" w:sz="8" w:color="CCEEFF"/>
            </w:tcBorders>
            <w:shd w:val="clear" w:color="auto" w:fill="CCEEFF"/>
          </w:tcPr>
          <w:p>
            <w:pPr>
              <w:spacing w:after="0" w:line="20" w:lineRule="exact"/>
              <w:rPr>
                <w:sz w:val="1"/>
                <w:szCs w:val="1"/>
                <w:color w:val="auto"/>
              </w:rPr>
            </w:pPr>
          </w:p>
        </w:tc>
        <w:tc>
          <w:tcPr>
            <w:tcW w:w="20" w:type="dxa"/>
            <w:vAlign w:val="bottom"/>
            <w:tcBorders>
              <w:bottom w:val="single" w:sz="8" w:color="CCEEFF"/>
            </w:tcBorders>
            <w:shd w:val="clear" w:color="auto" w:fill="CCEEFF"/>
          </w:tcPr>
          <w:p>
            <w:pPr>
              <w:spacing w:after="0" w:line="20" w:lineRule="exact"/>
              <w:rPr>
                <w:sz w:val="1"/>
                <w:szCs w:val="1"/>
                <w:color w:val="auto"/>
              </w:rPr>
            </w:pPr>
          </w:p>
        </w:tc>
        <w:tc>
          <w:tcPr>
            <w:tcW w:w="60" w:type="dxa"/>
            <w:vAlign w:val="bottom"/>
            <w:tcBorders>
              <w:bottom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bottom w:val="single" w:sz="8" w:color="CCEEFF"/>
              <w:right w:val="single" w:sz="8" w:color="CCEEFF"/>
            </w:tcBorders>
            <w:shd w:val="clear" w:color="auto" w:fill="CCEEFF"/>
          </w:tcPr>
          <w:p>
            <w:pPr>
              <w:spacing w:after="0" w:line="20" w:lineRule="exact"/>
              <w:rPr>
                <w:sz w:val="1"/>
                <w:szCs w:val="1"/>
                <w:color w:val="auto"/>
              </w:rPr>
            </w:pPr>
          </w:p>
        </w:tc>
      </w:tr>
      <w:tr>
        <w:trPr>
          <w:trHeight w:val="195"/>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6"/>
                <w:szCs w:val="16"/>
                <w:color w:val="auto"/>
              </w:rPr>
            </w:pPr>
          </w:p>
        </w:tc>
        <w:tc>
          <w:tcPr>
            <w:tcW w:w="9820" w:type="dxa"/>
            <w:vAlign w:val="bottom"/>
            <w:tcBorders>
              <w:bottom w:val="single" w:sz="8" w:color="0000EE"/>
            </w:tcBorders>
            <w:gridSpan w:val="17"/>
            <w:shd w:val="clear" w:color="auto" w:fill="CCEEFF"/>
          </w:tcPr>
          <w:p>
            <w:pPr>
              <w:spacing w:after="0" w:line="176" w:lineRule="exact"/>
              <w:rPr>
                <w:rFonts w:ascii="Times New Roman" w:cs="Times New Roman" w:eastAsia="Times New Roman" w:hAnsi="Times New Roman"/>
                <w:sz w:val="18"/>
                <w:szCs w:val="18"/>
                <w:color w:val="0000EE"/>
                <w:w w:val="99"/>
                <w:shd w:val="clear" w:color="auto" w:fill="CCEEFF"/>
              </w:rPr>
            </w:pPr>
            <w:hyperlink r:id="rId168">
              <w:r>
                <w:rPr>
                  <w:rFonts w:ascii="Times New Roman" w:cs="Times New Roman" w:eastAsia="Times New Roman" w:hAnsi="Times New Roman"/>
                  <w:sz w:val="18"/>
                  <w:szCs w:val="18"/>
                  <w:color w:val="0000EE"/>
                  <w:w w:val="99"/>
                  <w:shd w:val="clear" w:color="auto" w:fill="CCEEFF"/>
                </w:rPr>
                <w:t>Purchase Agreement between Incannex Healthcare Inc. and Arena Business Solutions Global SPC II, Ltd, dated as of September 6, 2024</w:t>
              </w:r>
            </w:hyperlink>
          </w:p>
        </w:tc>
        <w:tc>
          <w:tcPr>
            <w:tcW w:w="20" w:type="dxa"/>
            <w:vAlign w:val="bottom"/>
            <w:tcBorders>
              <w:bottom w:val="single" w:sz="8" w:color="0000EE"/>
            </w:tcBorders>
          </w:tcPr>
          <w:p>
            <w:pPr>
              <w:spacing w:after="0"/>
              <w:rPr>
                <w:sz w:val="16"/>
                <w:szCs w:val="16"/>
                <w:color w:val="auto"/>
              </w:rPr>
            </w:pPr>
          </w:p>
        </w:tc>
        <w:tc>
          <w:tcPr>
            <w:tcW w:w="340" w:type="dxa"/>
            <w:vAlign w:val="bottom"/>
            <w:gridSpan w:val="3"/>
          </w:tcPr>
          <w:p>
            <w:pPr>
              <w:spacing w:after="0"/>
              <w:rPr>
                <w:sz w:val="16"/>
                <w:szCs w:val="16"/>
                <w:color w:val="auto"/>
              </w:rPr>
            </w:pPr>
          </w:p>
        </w:tc>
      </w:tr>
      <w:tr>
        <w:trPr>
          <w:trHeight w:val="175"/>
        </w:trPr>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20" w:type="dxa"/>
            <w:vAlign w:val="bottom"/>
            <w:tcBorders>
              <w:top w:val="single" w:sz="8" w:color="CCEEFF"/>
            </w:tcBorders>
            <w:gridSpan w:val="17"/>
          </w:tcPr>
          <w:p>
            <w:pPr>
              <w:spacing w:after="0" w:line="17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(incorporated by reference to Exhibit 10.1 of the Company’s Current Report on Form 8-K filed with the SEC on September 10, 2024)</w:t>
              </w:r>
            </w:hyperlink>
          </w:p>
        </w:tc>
        <w:tc>
          <w:tcPr>
            <w:tcW w:w="20" w:type="dxa"/>
            <w:vAlign w:val="bottom"/>
          </w:tcPr>
          <w:p>
            <w:pPr>
              <w:spacing w:after="0"/>
              <w:rPr>
                <w:sz w:val="15"/>
                <w:szCs w:val="15"/>
                <w:color w:val="auto"/>
              </w:rPr>
            </w:pPr>
          </w:p>
        </w:tc>
        <w:tc>
          <w:tcPr>
            <w:tcW w:w="340" w:type="dxa"/>
            <w:vAlign w:val="bottom"/>
            <w:gridSpan w:val="3"/>
          </w:tcPr>
          <w:p>
            <w:pPr>
              <w:spacing w:after="0"/>
              <w:rPr>
                <w:sz w:val="15"/>
                <w:szCs w:val="15"/>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32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75"/>
        </w:trPr>
        <w:tc>
          <w:tcPr>
            <w:tcW w:w="10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20" w:type="dxa"/>
            <w:vAlign w:val="bottom"/>
            <w:tcBorders>
              <w:bottom w:val="single" w:sz="8" w:color="CCEEFF"/>
            </w:tcBorders>
            <w:shd w:val="clear" w:color="auto" w:fill="CCEEFF"/>
          </w:tcPr>
          <w:p>
            <w:pPr>
              <w:spacing w:after="0"/>
              <w:rPr>
                <w:sz w:val="15"/>
                <w:szCs w:val="15"/>
                <w:color w:val="auto"/>
              </w:rPr>
            </w:pPr>
          </w:p>
        </w:tc>
        <w:tc>
          <w:tcPr>
            <w:tcW w:w="10180" w:type="dxa"/>
            <w:vAlign w:val="bottom"/>
            <w:tcBorders>
              <w:bottom w:val="single" w:sz="8" w:color="0000EE"/>
              <w:right w:val="single" w:sz="8" w:color="CCEEFF"/>
            </w:tcBorders>
            <w:gridSpan w:val="21"/>
            <w:shd w:val="clear" w:color="auto" w:fill="CCEEFF"/>
          </w:tcPr>
          <w:p>
            <w:pPr>
              <w:spacing w:after="0" w:line="176" w:lineRule="exact"/>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Securities Purchase Agreement between Incannex Healthcare Inc. and Arena Investors, LP, dated as of September 6, 2024 (incorporated by</w:t>
              </w:r>
            </w:hyperlink>
          </w:p>
        </w:tc>
      </w:tr>
      <w:tr>
        <w:trPr>
          <w:trHeight w:val="216"/>
        </w:trPr>
        <w:tc>
          <w:tcPr>
            <w:tcW w:w="10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360" w:type="dxa"/>
            <w:vAlign w:val="bottom"/>
            <w:tcBorders>
              <w:bottom w:val="single" w:sz="8" w:color="0000EE"/>
            </w:tcBorders>
            <w:gridSpan w:val="9"/>
            <w:shd w:val="clear" w:color="auto" w:fill="CCEEFF"/>
          </w:tcPr>
          <w:p>
            <w:pPr>
              <w:spacing w:after="0" w:line="195" w:lineRule="exact"/>
              <w:rPr>
                <w:rFonts w:ascii="Times New Roman" w:cs="Times New Roman" w:eastAsia="Times New Roman" w:hAnsi="Times New Roman"/>
                <w:sz w:val="18"/>
                <w:szCs w:val="18"/>
                <w:color w:val="0000EE"/>
                <w:w w:val="99"/>
              </w:rPr>
            </w:pPr>
            <w:hyperlink r:id="rId169">
              <w:r>
                <w:rPr>
                  <w:rFonts w:ascii="Times New Roman" w:cs="Times New Roman" w:eastAsia="Times New Roman" w:hAnsi="Times New Roman"/>
                  <w:sz w:val="18"/>
                  <w:szCs w:val="18"/>
                  <w:color w:val="0000EE"/>
                  <w:w w:val="99"/>
                </w:rPr>
                <w:t>reference to Exhibit 10.2 of the Company’s Current Report on Form 8-K filed with the SEC on September 10, 2024)</w:t>
              </w:r>
            </w:hyperlink>
          </w:p>
        </w:tc>
        <w:tc>
          <w:tcPr>
            <w:tcW w:w="1820" w:type="dxa"/>
            <w:vAlign w:val="bottom"/>
            <w:tcBorders>
              <w:bottom w:val="single" w:sz="8" w:color="CCEEFF"/>
              <w:right w:val="single" w:sz="8" w:color="CCEEFF"/>
            </w:tcBorders>
            <w:gridSpan w:val="12"/>
            <w:shd w:val="clear" w:color="auto" w:fill="CCEEFF"/>
          </w:tcPr>
          <w:p>
            <w:pPr>
              <w:spacing w:after="0"/>
              <w:rPr>
                <w:sz w:val="18"/>
                <w:szCs w:val="18"/>
                <w:color w:val="auto"/>
              </w:rPr>
            </w:pPr>
          </w:p>
        </w:tc>
      </w:tr>
      <w:tr>
        <w:trPr>
          <w:trHeight w:val="175"/>
        </w:trPr>
        <w:tc>
          <w:tcPr>
            <w:tcW w:w="10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5"/>
                <w:szCs w:val="15"/>
                <w:color w:val="auto"/>
              </w:rPr>
            </w:pPr>
          </w:p>
        </w:tc>
        <w:tc>
          <w:tcPr>
            <w:tcW w:w="2560" w:type="dxa"/>
            <w:vAlign w:val="bottom"/>
            <w:tcBorders>
              <w:bottom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w w:val="98"/>
              </w:rPr>
              <w:t>2023 Australian Incentive Sub-Plan</w:t>
            </w:r>
          </w:p>
        </w:tc>
        <w:tc>
          <w:tcPr>
            <w:tcW w:w="7620" w:type="dxa"/>
            <w:vAlign w:val="bottom"/>
            <w:gridSpan w:val="17"/>
          </w:tcPr>
          <w:p>
            <w:pPr>
              <w:spacing w:after="0"/>
              <w:rPr>
                <w:sz w:val="15"/>
                <w:szCs w:val="15"/>
                <w:color w:val="auto"/>
              </w:rPr>
            </w:pPr>
          </w:p>
        </w:tc>
      </w:tr>
      <w:tr>
        <w:trPr>
          <w:trHeight w:val="674"/>
        </w:trPr>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60" w:type="dxa"/>
            <w:vAlign w:val="bottom"/>
            <w:tcBorders>
              <w:bottom w:val="single" w:sz="8" w:color="auto"/>
            </w:tcBorders>
            <w:gridSpan w:val="8"/>
          </w:tcPr>
          <w:p>
            <w:pPr>
              <w:ind w:left="4320"/>
              <w:spacing w:after="0"/>
              <w:rPr>
                <w:sz w:val="20"/>
                <w:szCs w:val="20"/>
                <w:color w:val="auto"/>
              </w:rPr>
            </w:pPr>
            <w:r>
              <w:rPr>
                <w:rFonts w:ascii="Times New Roman" w:cs="Times New Roman" w:eastAsia="Times New Roman" w:hAnsi="Times New Roman"/>
                <w:sz w:val="18"/>
                <w:szCs w:val="18"/>
                <w:color w:val="auto"/>
              </w:rPr>
              <w:t>104</w:t>
            </w:r>
          </w:p>
        </w:tc>
        <w:tc>
          <w:tcPr>
            <w:tcW w:w="1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bl>
    <w:p>
      <w:pPr>
        <w:sectPr>
          <w:pgSz w:w="11900" w:h="16838" w:orient="portrait"/>
          <w:cols w:equalWidth="0" w:num="1">
            <w:col w:w="11340"/>
          </w:cols>
          <w:pgMar w:left="320" w:top="871" w:right="239" w:bottom="1440" w:gutter="0" w:footer="0" w:header="0"/>
        </w:sectPr>
      </w:pPr>
    </w:p>
    <w:bookmarkStart w:id="131" w:name="page132"/>
    <w:bookmarkEnd w:id="1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16.1</w:t>
            </w:r>
          </w:p>
        </w:tc>
        <w:tc>
          <w:tcPr>
            <w:tcW w:w="9920" w:type="dxa"/>
            <w:vAlign w:val="bottom"/>
            <w:tcBorders>
              <w:bottom w:val="single" w:sz="8" w:color="0000EE"/>
            </w:tcBorders>
            <w:gridSpan w:val="12"/>
            <w:shd w:val="clear" w:color="auto" w:fill="CCEEFF"/>
          </w:tcPr>
          <w:p>
            <w:pPr>
              <w:spacing w:after="0"/>
              <w:rPr>
                <w:rFonts w:ascii="Times New Roman" w:cs="Times New Roman" w:eastAsia="Times New Roman" w:hAnsi="Times New Roman"/>
                <w:sz w:val="18"/>
                <w:szCs w:val="18"/>
                <w:color w:val="0000EE"/>
                <w:w w:val="99"/>
              </w:rPr>
            </w:pPr>
            <w:hyperlink r:id="rId170">
              <w:r>
                <w:rPr>
                  <w:rFonts w:ascii="Times New Roman" w:cs="Times New Roman" w:eastAsia="Times New Roman" w:hAnsi="Times New Roman"/>
                  <w:sz w:val="18"/>
                  <w:szCs w:val="18"/>
                  <w:color w:val="0000EE"/>
                  <w:w w:val="99"/>
                </w:rPr>
                <w:t>Letter to Securities and Exchange Commission from PKF Brisbane Audit, dated December 14, 2023 (incorporated by reference to Exhibit</w:t>
              </w:r>
            </w:hyperlink>
          </w:p>
        </w:tc>
        <w:tc>
          <w:tcPr>
            <w:tcW w:w="260" w:type="dxa"/>
            <w:vAlign w:val="bottom"/>
            <w:tcBorders>
              <w:bottom w:val="single" w:sz="8" w:color="CCEEFF"/>
            </w:tcBorders>
            <w:shd w:val="clear" w:color="auto" w:fill="CCEEFF"/>
          </w:tcPr>
          <w:p>
            <w:pPr>
              <w:spacing w:after="0"/>
              <w:rPr>
                <w:sz w:val="17"/>
                <w:szCs w:val="17"/>
                <w:color w:val="auto"/>
              </w:rPr>
            </w:pPr>
          </w:p>
        </w:tc>
      </w:tr>
      <w:tr>
        <w:trPr>
          <w:trHeight w:val="216"/>
        </w:trPr>
        <w:tc>
          <w:tcPr>
            <w:tcW w:w="1160" w:type="dxa"/>
            <w:vAlign w:val="bottom"/>
            <w:tcBorders>
              <w:bottom w:val="single" w:sz="8" w:color="CCEEFF"/>
            </w:tcBorders>
            <w:shd w:val="clear" w:color="auto" w:fill="CCEEFF"/>
          </w:tcPr>
          <w:p>
            <w:pPr>
              <w:spacing w:after="0"/>
              <w:rPr>
                <w:sz w:val="18"/>
                <w:szCs w:val="18"/>
                <w:color w:val="auto"/>
              </w:rPr>
            </w:pPr>
          </w:p>
        </w:tc>
        <w:tc>
          <w:tcPr>
            <w:tcW w:w="6860" w:type="dxa"/>
            <w:vAlign w:val="bottom"/>
            <w:tcBorders>
              <w:bottom w:val="single" w:sz="8" w:color="0000EE"/>
            </w:tcBorders>
            <w:gridSpan w:val="7"/>
            <w:shd w:val="clear" w:color="auto" w:fill="CCEEFF"/>
          </w:tcPr>
          <w:p>
            <w:pPr>
              <w:spacing w:after="0" w:line="195" w:lineRule="exact"/>
              <w:rPr>
                <w:rFonts w:ascii="Times New Roman" w:cs="Times New Roman" w:eastAsia="Times New Roman" w:hAnsi="Times New Roman"/>
                <w:sz w:val="18"/>
                <w:szCs w:val="18"/>
                <w:color w:val="0000EE"/>
                <w:w w:val="99"/>
              </w:rPr>
            </w:pPr>
            <w:hyperlink r:id="rId170">
              <w:r>
                <w:rPr>
                  <w:rFonts w:ascii="Times New Roman" w:cs="Times New Roman" w:eastAsia="Times New Roman" w:hAnsi="Times New Roman"/>
                  <w:sz w:val="18"/>
                  <w:szCs w:val="18"/>
                  <w:color w:val="0000EE"/>
                  <w:w w:val="99"/>
                </w:rPr>
                <w:t>16.</w:t>
              </w:r>
              <w:r>
                <w:rPr>
                  <w:rFonts w:ascii="Times New Roman" w:cs="Times New Roman" w:eastAsia="Times New Roman" w:hAnsi="Times New Roman"/>
                  <w:sz w:val="18"/>
                  <w:szCs w:val="18"/>
                  <w:u w:val="single" w:color="auto"/>
                  <w:color w:val="0000EE"/>
                  <w:w w:val="99"/>
                </w:rPr>
                <w:t>1</w:t>
              </w:r>
              <w:r>
                <w:rPr>
                  <w:rFonts w:ascii="Times New Roman" w:cs="Times New Roman" w:eastAsia="Times New Roman" w:hAnsi="Times New Roman"/>
                  <w:sz w:val="18"/>
                  <w:szCs w:val="18"/>
                  <w:color w:val="0000EE"/>
                  <w:w w:val="99"/>
                </w:rPr>
                <w:t xml:space="preserve"> of the Company’s Current Report on Form 8-K filed with the SEC on December 15, 2023)</w:t>
              </w:r>
            </w:hyperlink>
          </w:p>
        </w:tc>
        <w:tc>
          <w:tcPr>
            <w:tcW w:w="3320" w:type="dxa"/>
            <w:vAlign w:val="bottom"/>
            <w:tcBorders>
              <w:bottom w:val="single" w:sz="8" w:color="CCEEFF"/>
            </w:tcBorders>
            <w:gridSpan w:val="6"/>
            <w:shd w:val="clear" w:color="auto" w:fill="CCEEFF"/>
          </w:tcPr>
          <w:p>
            <w:pPr>
              <w:spacing w:after="0"/>
              <w:rPr>
                <w:sz w:val="18"/>
                <w:szCs w:val="18"/>
                <w:color w:val="auto"/>
              </w:rPr>
            </w:pPr>
          </w:p>
        </w:tc>
      </w:tr>
      <w:tr>
        <w:trPr>
          <w:trHeight w:val="175"/>
        </w:trPr>
        <w:tc>
          <w:tcPr>
            <w:tcW w:w="11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19.1*</w:t>
            </w:r>
          </w:p>
        </w:tc>
        <w:tc>
          <w:tcPr>
            <w:tcW w:w="101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Securities Trading Policy, adopted on October 5, 2023</w:t>
            </w:r>
          </w:p>
        </w:tc>
      </w:tr>
      <w:tr>
        <w:trPr>
          <w:trHeight w:val="20"/>
        </w:trPr>
        <w:tc>
          <w:tcPr>
            <w:tcW w:w="1160" w:type="dxa"/>
            <w:vAlign w:val="bottom"/>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380" w:type="dxa"/>
            <w:vAlign w:val="bottom"/>
            <w:tcBorders>
              <w:top w:val="single" w:sz="8" w:color="0000EE"/>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5"/>
        </w:trPr>
        <w:tc>
          <w:tcPr>
            <w:tcW w:w="11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36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List of subsidiaries</w:t>
            </w:r>
          </w:p>
        </w:tc>
        <w:tc>
          <w:tcPr>
            <w:tcW w:w="8820" w:type="dxa"/>
            <w:vAlign w:val="bottom"/>
            <w:tcBorders>
              <w:bottom w:val="single" w:sz="8" w:color="CCEEFF"/>
            </w:tcBorders>
            <w:gridSpan w:val="12"/>
            <w:shd w:val="clear" w:color="auto" w:fill="CCEEFF"/>
          </w:tcPr>
          <w:p>
            <w:pPr>
              <w:spacing w:after="0"/>
              <w:rPr>
                <w:sz w:val="17"/>
                <w:szCs w:val="17"/>
                <w:color w:val="auto"/>
              </w:rPr>
            </w:pPr>
          </w:p>
        </w:tc>
      </w:tr>
      <w:tr>
        <w:trPr>
          <w:trHeight w:val="175"/>
        </w:trPr>
        <w:tc>
          <w:tcPr>
            <w:tcW w:w="11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1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Consent of Grant Thornton, independent registered public accounting firm</w:t>
            </w:r>
          </w:p>
        </w:tc>
      </w:tr>
      <w:tr>
        <w:trPr>
          <w:trHeight w:val="20"/>
        </w:trPr>
        <w:tc>
          <w:tcPr>
            <w:tcW w:w="1160" w:type="dxa"/>
            <w:vAlign w:val="bottom"/>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3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95"/>
        </w:trPr>
        <w:tc>
          <w:tcPr>
            <w:tcW w:w="11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418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Power of Attorney (included on the signature page hereto)</w:t>
            </w:r>
          </w:p>
        </w:tc>
        <w:tc>
          <w:tcPr>
            <w:tcW w:w="6000" w:type="dxa"/>
            <w:vAlign w:val="bottom"/>
            <w:tcBorders>
              <w:bottom w:val="single" w:sz="8" w:color="CCEEFF"/>
            </w:tcBorders>
            <w:gridSpan w:val="9"/>
            <w:shd w:val="clear" w:color="auto" w:fill="CCEEFF"/>
          </w:tcPr>
          <w:p>
            <w:pPr>
              <w:spacing w:after="0"/>
              <w:rPr>
                <w:sz w:val="17"/>
                <w:szCs w:val="17"/>
                <w:color w:val="auto"/>
              </w:rPr>
            </w:pPr>
          </w:p>
        </w:tc>
      </w:tr>
      <w:tr>
        <w:trPr>
          <w:trHeight w:val="175"/>
        </w:trPr>
        <w:tc>
          <w:tcPr>
            <w:tcW w:w="11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01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Required Under Rule 13a-14(a) of the Securities Exchange Act of 1934, as amended.</w:t>
            </w:r>
          </w:p>
        </w:tc>
      </w:tr>
      <w:tr>
        <w:trPr>
          <w:trHeight w:val="20"/>
        </w:trPr>
        <w:tc>
          <w:tcPr>
            <w:tcW w:w="1160" w:type="dxa"/>
            <w:vAlign w:val="bottom"/>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3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3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75"/>
        </w:trPr>
        <w:tc>
          <w:tcPr>
            <w:tcW w:w="11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018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Required Under Rule 13a-14(a) of the Securities Exchange Act of 1934, as amended.</w:t>
            </w:r>
          </w:p>
        </w:tc>
      </w:tr>
      <w:tr>
        <w:trPr>
          <w:trHeight w:val="20"/>
        </w:trPr>
        <w:tc>
          <w:tcPr>
            <w:tcW w:w="11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3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1160" w:type="dxa"/>
            <w:vAlign w:val="bottom"/>
            <w:tcBorders>
              <w:top w:val="single" w:sz="8" w:color="0000EE"/>
            </w:tcBorders>
            <w:shd w:val="clear" w:color="auto" w:fill="CCEEFF"/>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3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9820" w:type="dxa"/>
            <w:vAlign w:val="bottom"/>
            <w:tcBorders>
              <w:bottom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Principal Executive Officer Required Under Rule 13a-14(b) of the Securities Exchange Act of 1934, as amended, and 18</w:t>
            </w:r>
          </w:p>
        </w:tc>
        <w:tc>
          <w:tcPr>
            <w:tcW w:w="360" w:type="dxa"/>
            <w:vAlign w:val="bottom"/>
            <w:gridSpan w:val="2"/>
          </w:tcPr>
          <w:p>
            <w:pPr>
              <w:spacing w:after="0"/>
              <w:rPr>
                <w:sz w:val="15"/>
                <w:szCs w:val="15"/>
                <w:color w:val="auto"/>
              </w:rPr>
            </w:pPr>
          </w:p>
        </w:tc>
      </w:tr>
      <w:tr>
        <w:trPr>
          <w:trHeight w:val="195"/>
        </w:trPr>
        <w:tc>
          <w:tcPr>
            <w:tcW w:w="1160" w:type="dxa"/>
            <w:vAlign w:val="bottom"/>
          </w:tcPr>
          <w:p>
            <w:pPr>
              <w:spacing w:after="0"/>
              <w:rPr>
                <w:sz w:val="17"/>
                <w:szCs w:val="17"/>
                <w:color w:val="auto"/>
              </w:rPr>
            </w:pPr>
          </w:p>
        </w:tc>
        <w:tc>
          <w:tcPr>
            <w:tcW w:w="10180" w:type="dxa"/>
            <w:vAlign w:val="bottom"/>
            <w:gridSpan w:val="13"/>
          </w:tcPr>
          <w:p>
            <w:pPr>
              <w:spacing w:after="0" w:line="195" w:lineRule="exact"/>
              <w:rPr>
                <w:sz w:val="20"/>
                <w:szCs w:val="20"/>
                <w:color w:val="auto"/>
              </w:rPr>
            </w:pPr>
            <w:r>
              <w:rPr>
                <w:rFonts w:ascii="Times New Roman" w:cs="Times New Roman" w:eastAsia="Times New Roman" w:hAnsi="Times New Roman"/>
                <w:sz w:val="18"/>
                <w:szCs w:val="18"/>
                <w:color w:val="0000EE"/>
              </w:rPr>
              <w:t>U.S.C. Section 1350.</w:t>
            </w:r>
          </w:p>
        </w:tc>
      </w:tr>
      <w:tr>
        <w:trPr>
          <w:trHeight w:val="20"/>
        </w:trPr>
        <w:tc>
          <w:tcPr>
            <w:tcW w:w="1160" w:type="dxa"/>
            <w:vAlign w:val="bottom"/>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175"/>
        </w:trPr>
        <w:tc>
          <w:tcPr>
            <w:tcW w:w="11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0180" w:type="dxa"/>
            <w:vAlign w:val="bottom"/>
            <w:gridSpan w:val="1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Officer Required Under Rule 13a-14(b) of the Securities Exchange Act of 1934, as amended, and 18</w:t>
            </w:r>
          </w:p>
        </w:tc>
      </w:tr>
      <w:tr>
        <w:trPr>
          <w:trHeight w:val="195"/>
        </w:trPr>
        <w:tc>
          <w:tcPr>
            <w:tcW w:w="1160" w:type="dxa"/>
            <w:vAlign w:val="bottom"/>
            <w:tcBorders>
              <w:top w:val="single" w:sz="8" w:color="CCEEFF"/>
            </w:tcBorders>
            <w:shd w:val="clear" w:color="auto" w:fill="CCEEFF"/>
          </w:tcPr>
          <w:p>
            <w:pPr>
              <w:spacing w:after="0"/>
              <w:rPr>
                <w:sz w:val="17"/>
                <w:szCs w:val="17"/>
                <w:color w:val="auto"/>
              </w:rPr>
            </w:pPr>
          </w:p>
        </w:tc>
        <w:tc>
          <w:tcPr>
            <w:tcW w:w="9760" w:type="dxa"/>
            <w:vAlign w:val="bottom"/>
            <w:tcBorders>
              <w:top w:val="single" w:sz="8" w:color="0000EE"/>
            </w:tcBorders>
            <w:gridSpan w:val="10"/>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0000EE"/>
              </w:rPr>
              <w:t>U.S.C. Section 1350.</w:t>
            </w:r>
          </w:p>
        </w:tc>
        <w:tc>
          <w:tcPr>
            <w:tcW w:w="420" w:type="dxa"/>
            <w:vAlign w:val="bottom"/>
            <w:tcBorders>
              <w:top w:val="single" w:sz="8" w:color="CCEEFF"/>
            </w:tcBorders>
            <w:gridSpan w:val="3"/>
            <w:shd w:val="clear" w:color="auto" w:fill="CCEEFF"/>
          </w:tcPr>
          <w:p>
            <w:pPr>
              <w:spacing w:after="0"/>
              <w:rPr>
                <w:sz w:val="17"/>
                <w:szCs w:val="17"/>
                <w:color w:val="auto"/>
              </w:rPr>
            </w:pPr>
          </w:p>
        </w:tc>
      </w:tr>
      <w:tr>
        <w:trPr>
          <w:trHeight w:val="20"/>
        </w:trPr>
        <w:tc>
          <w:tcPr>
            <w:tcW w:w="116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10180" w:type="dxa"/>
            <w:vAlign w:val="bottom"/>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Policy for Recovery of Erroneously Awarded Compensation, adopted on October 5, 2023</w:t>
            </w:r>
          </w:p>
        </w:tc>
      </w:tr>
      <w:tr>
        <w:trPr>
          <w:trHeight w:val="20"/>
        </w:trPr>
        <w:tc>
          <w:tcPr>
            <w:tcW w:w="1160" w:type="dxa"/>
            <w:vAlign w:val="bottom"/>
          </w:tcPr>
          <w:p>
            <w:pPr>
              <w:spacing w:after="0" w:line="20" w:lineRule="exact"/>
              <w:rPr>
                <w:sz w:val="1"/>
                <w:szCs w:val="1"/>
                <w:color w:val="auto"/>
              </w:rPr>
            </w:pPr>
          </w:p>
        </w:tc>
        <w:tc>
          <w:tcPr>
            <w:tcW w:w="1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38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1160" w:type="dxa"/>
            <w:vAlign w:val="bottom"/>
            <w:tcBorders>
              <w:top w:val="single" w:sz="8" w:color="0000EE"/>
            </w:tcBorders>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15"/>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18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5"/>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1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5"/>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1018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5"/>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1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5"/>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1018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1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79" w:lineRule="exact"/>
        <w:rPr>
          <w:sz w:val="20"/>
          <w:szCs w:val="20"/>
          <w:color w:val="auto"/>
        </w:rPr>
      </w:pPr>
    </w:p>
    <w:p>
      <w:pPr>
        <w:ind w:left="340" w:hanging="332"/>
        <w:spacing w:after="0"/>
        <w:tabs>
          <w:tab w:leader="none" w:pos="3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9" w:lineRule="exact"/>
        <w:rPr>
          <w:sz w:val="20"/>
          <w:szCs w:val="20"/>
          <w:color w:val="auto"/>
        </w:rPr>
      </w:pPr>
    </w:p>
    <w:p>
      <w:pPr>
        <w:ind w:left="340" w:hanging="332"/>
        <w:spacing w:after="0"/>
        <w:tabs>
          <w:tab w:leader="none" w:pos="3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9" w:lineRule="exact"/>
        <w:rPr>
          <w:sz w:val="20"/>
          <w:szCs w:val="20"/>
          <w:color w:val="auto"/>
        </w:rPr>
      </w:pPr>
    </w:p>
    <w:p>
      <w:pPr>
        <w:ind w:left="340" w:right="120" w:hanging="332"/>
        <w:spacing w:after="0" w:line="249" w:lineRule="auto"/>
        <w:tabs>
          <w:tab w:leader="none" w:pos="34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asterisks) have been omitted pursuant to Item 601 of Regulation S-K because it is both not material and is the type that the registrant treats as private or confidential</w:t>
      </w:r>
    </w:p>
    <w:p>
      <w:pPr>
        <w:spacing w:after="0" w:line="1" w:lineRule="exact"/>
        <w:rPr>
          <w:sz w:val="20"/>
          <w:szCs w:val="20"/>
          <w:color w:val="auto"/>
        </w:rPr>
      </w:pPr>
    </w:p>
    <w:p>
      <w:pPr>
        <w:ind w:left="340" w:right="220" w:hanging="332"/>
        <w:spacing w:after="0" w:line="259" w:lineRule="auto"/>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to this exhibit have been omitted pursuant to Item 601(a)(5) of Regulation S-K. Copies of the omitted schedules will be furnished to the SEC upon request.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340"/>
          </w:cols>
          <w:pgMar w:left="320" w:top="862" w:right="23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8" w:lineRule="exact"/>
        <w:rPr>
          <w:sz w:val="20"/>
          <w:szCs w:val="20"/>
          <w:color w:val="auto"/>
        </w:rPr>
      </w:pPr>
    </w:p>
    <w:p>
      <w:pPr>
        <w:ind w:right="100" w:firstLine="646"/>
        <w:spacing w:after="0" w:line="281"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58" w:lineRule="exact"/>
        <w:rPr>
          <w:sz w:val="20"/>
          <w:szCs w:val="20"/>
          <w:color w:val="auto"/>
        </w:rPr>
      </w:pPr>
    </w:p>
    <w:p>
      <w:pPr>
        <w:ind w:left="60"/>
        <w:spacing w:after="0"/>
        <w:tabs>
          <w:tab w:leader="none" w:pos="6740" w:val="left"/>
        </w:tabs>
        <w:rPr>
          <w:sz w:val="20"/>
          <w:szCs w:val="20"/>
          <w:color w:val="auto"/>
        </w:rPr>
      </w:pPr>
      <w:r>
        <w:rPr>
          <w:rFonts w:ascii="Times New Roman" w:cs="Times New Roman" w:eastAsia="Times New Roman" w:hAnsi="Times New Roman"/>
          <w:sz w:val="18"/>
          <w:szCs w:val="18"/>
          <w:color w:val="auto"/>
        </w:rPr>
        <w:t>Date: September 30, 2024</w:t>
      </w:r>
      <w:r>
        <w:rPr>
          <w:sz w:val="20"/>
          <w:szCs w:val="20"/>
          <w:color w:val="auto"/>
        </w:rPr>
        <w:tab/>
      </w:r>
      <w:r>
        <w:rPr>
          <w:rFonts w:ascii="Times New Roman" w:cs="Times New Roman" w:eastAsia="Times New Roman" w:hAnsi="Times New Roman"/>
          <w:sz w:val="17"/>
          <w:szCs w:val="17"/>
          <w:b w:val="1"/>
          <w:bCs w:val="1"/>
          <w:color w:val="auto"/>
        </w:rPr>
        <w:t>Incannex Healthcare Inc.</w:t>
      </w:r>
    </w:p>
    <w:p>
      <w:pPr>
        <w:spacing w:after="0" w:line="228"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Joel Latham</w:t>
      </w:r>
    </w:p>
    <w:p>
      <w:pPr>
        <w:spacing w:after="0" w:line="3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Joel Latham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-127635</wp:posOffset>
            </wp:positionV>
            <wp:extent cx="24885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2">
                      <a:extLst>
                        <a:ext uri="{28A0092B-C50C-407E-A947-70E740481C1C}"/>
                      </a:extLst>
                    </a:blip>
                    <a:srcRect/>
                    <a:stretch>
                      <a:fillRect/>
                    </a:stretch>
                  </pic:blipFill>
                  <pic:spPr bwMode="auto">
                    <a:xfrm>
                      <a:off x="0" y="0"/>
                      <a:ext cx="2488565" cy="17145"/>
                    </a:xfrm>
                    <a:prstGeom prst="rect">
                      <a:avLst/>
                    </a:prstGeom>
                    <a:noFill/>
                  </pic:spPr>
                </pic:pic>
              </a:graphicData>
            </a:graphic>
          </wp:anchor>
        </w:drawing>
      </w:r>
    </w:p>
    <w:p>
      <w:pPr>
        <w:spacing w:after="0" w:line="20"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President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8" w:lineRule="exact"/>
        <w:rPr>
          <w:sz w:val="20"/>
          <w:szCs w:val="20"/>
          <w:color w:val="auto"/>
        </w:rPr>
      </w:pPr>
    </w:p>
    <w:p>
      <w:pPr>
        <w:ind w:right="100" w:firstLine="646"/>
        <w:spacing w:after="0" w:line="256" w:lineRule="auto"/>
        <w:rPr>
          <w:sz w:val="20"/>
          <w:szCs w:val="20"/>
          <w:color w:val="auto"/>
        </w:rPr>
      </w:pPr>
      <w:r>
        <w:rPr>
          <w:rFonts w:ascii="Times New Roman" w:cs="Times New Roman" w:eastAsia="Times New Roman" w:hAnsi="Times New Roman"/>
          <w:sz w:val="18"/>
          <w:szCs w:val="18"/>
          <w:color w:val="auto"/>
        </w:rPr>
        <w:t>IN WITNESS WHEREOF, each person whose signature appears below constitutes and appoints Joel Latham and Joseph Swan as his true and lawful agent, proxy and attorney-in-fact, each acting alone, with full power of substitution and resubstitution, for him and in his name, place and stead, in any and all capacities, to (i) act on and sign any amendments to this report, with exhibits thereto and other documents in connection therewith, (ii) act on and sign such certificates, instruments, agreements and other documents as may be necessary or appropriate in connection therewith, and in each case file the same with the SEC, hereby approving, ratifying and confirming all that such agent, proxy and attorney-in-fact or any of his substitutes may lawfully do or cause to be done by virtue thereof.</w:t>
      </w:r>
    </w:p>
    <w:p>
      <w:pPr>
        <w:spacing w:after="0" w:line="184" w:lineRule="exact"/>
        <w:rPr>
          <w:sz w:val="20"/>
          <w:szCs w:val="20"/>
          <w:color w:val="auto"/>
        </w:rPr>
      </w:pPr>
    </w:p>
    <w:p>
      <w:pPr>
        <w:ind w:right="200" w:firstLine="646"/>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6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0" w:type="dxa"/>
            <w:vAlign w:val="bottom"/>
          </w:tcPr>
          <w:p>
            <w:pPr>
              <w:spacing w:after="0"/>
              <w:rPr>
                <w:sz w:val="21"/>
                <w:szCs w:val="21"/>
                <w:color w:val="auto"/>
              </w:rPr>
            </w:pPr>
          </w:p>
        </w:tc>
        <w:tc>
          <w:tcPr>
            <w:tcW w:w="4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Position</w:t>
            </w:r>
          </w:p>
        </w:tc>
        <w:tc>
          <w:tcPr>
            <w:tcW w:w="220" w:type="dxa"/>
            <w:vAlign w:val="bottom"/>
          </w:tcPr>
          <w:p>
            <w:pPr>
              <w:spacing w:after="0"/>
              <w:rPr>
                <w:sz w:val="21"/>
                <w:szCs w:val="21"/>
                <w:color w:val="auto"/>
              </w:rPr>
            </w:pPr>
          </w:p>
        </w:tc>
        <w:tc>
          <w:tcPr>
            <w:tcW w:w="2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8"/>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Joel Latham</w:t>
            </w:r>
          </w:p>
        </w:tc>
        <w:tc>
          <w:tcPr>
            <w:tcW w:w="220" w:type="dxa"/>
            <w:vAlign w:val="bottom"/>
          </w:tcPr>
          <w:p>
            <w:pPr>
              <w:spacing w:after="0"/>
              <w:rPr>
                <w:sz w:val="24"/>
                <w:szCs w:val="24"/>
                <w:color w:val="auto"/>
              </w:rPr>
            </w:pPr>
          </w:p>
        </w:tc>
        <w:tc>
          <w:tcPr>
            <w:tcW w:w="5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Chief Executive Officer, President and 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30, 2024</w:t>
            </w: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Joel Latham</w:t>
            </w:r>
          </w:p>
        </w:tc>
        <w:tc>
          <w:tcPr>
            <w:tcW w:w="220" w:type="dxa"/>
            <w:vAlign w:val="bottom"/>
          </w:tcPr>
          <w:p>
            <w:pPr>
              <w:spacing w:after="0"/>
              <w:rPr>
                <w:sz w:val="20"/>
                <w:szCs w:val="20"/>
                <w:color w:val="auto"/>
              </w:rPr>
            </w:pPr>
          </w:p>
        </w:tc>
        <w:tc>
          <w:tcPr>
            <w:tcW w:w="5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800" w:type="dxa"/>
            <w:vAlign w:val="bottom"/>
          </w:tcPr>
          <w:p>
            <w:pPr>
              <w:spacing w:after="0"/>
              <w:rPr>
                <w:sz w:val="20"/>
                <w:szCs w:val="20"/>
                <w:color w:val="auto"/>
              </w:rPr>
            </w:pPr>
          </w:p>
        </w:tc>
      </w:tr>
      <w:tr>
        <w:trPr>
          <w:trHeight w:val="419"/>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Joseph Swan</w:t>
            </w:r>
          </w:p>
        </w:tc>
        <w:tc>
          <w:tcPr>
            <w:tcW w:w="220" w:type="dxa"/>
            <w:vAlign w:val="bottom"/>
          </w:tcPr>
          <w:p>
            <w:pPr>
              <w:spacing w:after="0"/>
              <w:rPr>
                <w:sz w:val="24"/>
                <w:szCs w:val="24"/>
                <w:color w:val="auto"/>
              </w:rPr>
            </w:pPr>
          </w:p>
        </w:tc>
        <w:tc>
          <w:tcPr>
            <w:tcW w:w="50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Chief Financial Officer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30, 2024</w:t>
            </w: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Joseph Swan</w:t>
            </w:r>
          </w:p>
        </w:tc>
        <w:tc>
          <w:tcPr>
            <w:tcW w:w="220" w:type="dxa"/>
            <w:vAlign w:val="bottom"/>
          </w:tcPr>
          <w:p>
            <w:pPr>
              <w:spacing w:after="0"/>
              <w:rPr>
                <w:sz w:val="20"/>
                <w:szCs w:val="20"/>
                <w:color w:val="auto"/>
              </w:rPr>
            </w:pPr>
          </w:p>
        </w:tc>
        <w:tc>
          <w:tcPr>
            <w:tcW w:w="50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800" w:type="dxa"/>
            <w:vAlign w:val="bottom"/>
          </w:tcPr>
          <w:p>
            <w:pPr>
              <w:spacing w:after="0"/>
              <w:rPr>
                <w:sz w:val="20"/>
                <w:szCs w:val="20"/>
                <w:color w:val="auto"/>
              </w:rPr>
            </w:pPr>
          </w:p>
        </w:tc>
      </w:tr>
      <w:tr>
        <w:trPr>
          <w:trHeight w:val="419"/>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Troy Valentine</w:t>
            </w:r>
          </w:p>
        </w:tc>
        <w:tc>
          <w:tcPr>
            <w:tcW w:w="220" w:type="dxa"/>
            <w:vAlign w:val="bottom"/>
          </w:tcPr>
          <w:p>
            <w:pPr>
              <w:spacing w:after="0"/>
              <w:rPr>
                <w:sz w:val="24"/>
                <w:szCs w:val="24"/>
                <w:color w:val="auto"/>
              </w:rPr>
            </w:pPr>
          </w:p>
        </w:tc>
        <w:tc>
          <w:tcPr>
            <w:tcW w:w="5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30, 2024</w:t>
            </w: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Troy Valentine</w:t>
            </w:r>
          </w:p>
        </w:tc>
        <w:tc>
          <w:tcPr>
            <w:tcW w:w="2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19"/>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Widdows</w:t>
            </w:r>
          </w:p>
        </w:tc>
        <w:tc>
          <w:tcPr>
            <w:tcW w:w="220" w:type="dxa"/>
            <w:vAlign w:val="bottom"/>
          </w:tcPr>
          <w:p>
            <w:pPr>
              <w:spacing w:after="0"/>
              <w:rPr>
                <w:sz w:val="24"/>
                <w:szCs w:val="24"/>
                <w:color w:val="auto"/>
              </w:rPr>
            </w:pPr>
          </w:p>
        </w:tc>
        <w:tc>
          <w:tcPr>
            <w:tcW w:w="5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30, 2024</w:t>
            </w: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Peter Widdows</w:t>
            </w:r>
          </w:p>
        </w:tc>
        <w:tc>
          <w:tcPr>
            <w:tcW w:w="2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19"/>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George Anastassov</w:t>
            </w:r>
          </w:p>
        </w:tc>
        <w:tc>
          <w:tcPr>
            <w:tcW w:w="220" w:type="dxa"/>
            <w:vAlign w:val="bottom"/>
          </w:tcPr>
          <w:p>
            <w:pPr>
              <w:spacing w:after="0"/>
              <w:rPr>
                <w:sz w:val="24"/>
                <w:szCs w:val="24"/>
                <w:color w:val="auto"/>
              </w:rPr>
            </w:pPr>
          </w:p>
        </w:tc>
        <w:tc>
          <w:tcPr>
            <w:tcW w:w="5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30, 2024</w:t>
            </w: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George Anastassov</w:t>
            </w:r>
          </w:p>
        </w:tc>
        <w:tc>
          <w:tcPr>
            <w:tcW w:w="2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419"/>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Clark</w:t>
            </w:r>
          </w:p>
        </w:tc>
        <w:tc>
          <w:tcPr>
            <w:tcW w:w="220" w:type="dxa"/>
            <w:vAlign w:val="bottom"/>
          </w:tcPr>
          <w:p>
            <w:pPr>
              <w:spacing w:after="0"/>
              <w:rPr>
                <w:sz w:val="24"/>
                <w:szCs w:val="24"/>
                <w:color w:val="auto"/>
              </w:rPr>
            </w:pPr>
          </w:p>
        </w:tc>
        <w:tc>
          <w:tcPr>
            <w:tcW w:w="50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September 30, 2024</w:t>
            </w: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Robert Clark</w:t>
            </w:r>
          </w:p>
        </w:tc>
        <w:tc>
          <w:tcPr>
            <w:tcW w:w="2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635"/>
        </w:trPr>
        <w:tc>
          <w:tcPr>
            <w:tcW w:w="316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gridSpan w:val="2"/>
          </w:tcPr>
          <w:p>
            <w:pPr>
              <w:jc w:val="right"/>
              <w:ind w:right="2370"/>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1"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 AGENCY AGREEMENT</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Warrant Agent Agreement (“</w:t>
      </w:r>
      <w:r>
        <w:rPr>
          <w:rFonts w:ascii="Times New Roman" w:cs="Times New Roman" w:eastAsia="Times New Roman" w:hAnsi="Times New Roman"/>
          <w:sz w:val="18"/>
          <w:szCs w:val="18"/>
          <w:b w:val="1"/>
          <w:bCs w:val="1"/>
          <w:color w:val="auto"/>
        </w:rPr>
        <w:t>Warrant Agreement</w:t>
      </w:r>
      <w:r>
        <w:rPr>
          <w:rFonts w:ascii="Times New Roman" w:cs="Times New Roman" w:eastAsia="Times New Roman" w:hAnsi="Times New Roman"/>
          <w:sz w:val="18"/>
          <w:szCs w:val="18"/>
          <w:color w:val="auto"/>
        </w:rPr>
        <w:t>”) is made as of December 29, 2023, by and among Incannex Healthcare Inc., a Delaware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 with offices at 221 Dosoris Lane, Glen Cove, New York 11542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Computershare Inc., a Delaware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Computershare</w:t>
      </w:r>
      <w:r>
        <w:rPr>
          <w:rFonts w:ascii="Times New Roman" w:cs="Times New Roman" w:eastAsia="Times New Roman" w:hAnsi="Times New Roman"/>
          <w:sz w:val="18"/>
          <w:szCs w:val="18"/>
          <w:color w:val="auto"/>
        </w:rPr>
        <w:t>”), and its affiliate Computershare Trust Company, N.A. a federally chartered trust company (collectively with Computershare,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 Agent</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right="120" w:firstLine="646"/>
        <w:spacing w:after="0" w:line="28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has issued seven series of warrants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each entitling its holder to purchase one share of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Company for each warrant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220" w:firstLine="646"/>
        <w:spacing w:after="0" w:line="28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will file a registration statement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with the Securities and Exchange Commission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for the registration under the Securities Act of 1933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of the shares of common stock underlying the Warrants;</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wishes to issue the Warrants in book entry form to be maintained by the Warrant Agent;</w:t>
      </w:r>
    </w:p>
    <w:p>
      <w:pPr>
        <w:spacing w:after="0" w:line="224" w:lineRule="exact"/>
        <w:rPr>
          <w:sz w:val="20"/>
          <w:szCs w:val="20"/>
          <w:color w:val="auto"/>
        </w:rPr>
      </w:pPr>
    </w:p>
    <w:p>
      <w:pPr>
        <w:ind w:right="240" w:firstLine="646"/>
        <w:spacing w:after="0" w:line="28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the Warrant Agent to act on behalf of the Company, and the Warrant Agent is willing to so act, in connection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issuance, registration, transfer, exchange, redemption and exercise of the Warrants;</w:t>
      </w:r>
    </w:p>
    <w:p>
      <w:pPr>
        <w:spacing w:after="0" w:line="155" w:lineRule="exact"/>
        <w:rPr>
          <w:sz w:val="20"/>
          <w:szCs w:val="20"/>
          <w:color w:val="auto"/>
        </w:rPr>
      </w:pPr>
    </w:p>
    <w:p>
      <w:pPr>
        <w:ind w:right="40" w:firstLine="646"/>
        <w:spacing w:after="0" w:line="261"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desires to provide for the form and provisions of each series of the Warrants, the terms upon which they shall be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exercised, and the respective rights, limitation of rights and immunities of the Company, the Warrant Agent and the respective holders of the Warrants (the “</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 which term shall include a Holder’s transferees, successors and assigns and “</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shall include, if the Warrants are held in “street name”, a Participant (as defined below) or a designee appointed by such Participant); and</w:t>
      </w:r>
    </w:p>
    <w:p>
      <w:pPr>
        <w:spacing w:after="0" w:line="177" w:lineRule="exact"/>
        <w:rPr>
          <w:sz w:val="20"/>
          <w:szCs w:val="20"/>
          <w:color w:val="auto"/>
        </w:rPr>
      </w:pPr>
    </w:p>
    <w:p>
      <w:pPr>
        <w:ind w:right="360" w:firstLine="646"/>
        <w:spacing w:after="0" w:line="26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all acts and things have been done and performed which are necessary to make the Warrants, when executed on behalf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countersigned by or on behalf of the Warrant Agent, as provided herein, the legally valid and binding obligations of the Company, and to authorize the execution and delivery of this Warrant Agreement.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agreements herein contained, the parties hereto agree as follows:</w:t>
      </w:r>
    </w:p>
    <w:p>
      <w:pPr>
        <w:spacing w:after="0" w:line="228" w:lineRule="exact"/>
        <w:rPr>
          <w:sz w:val="20"/>
          <w:szCs w:val="20"/>
          <w:color w:val="auto"/>
        </w:rPr>
      </w:pPr>
    </w:p>
    <w:p>
      <w:pPr>
        <w:ind w:left="660" w:right="80" w:hanging="652"/>
        <w:spacing w:after="0" w:line="260" w:lineRule="auto"/>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Appointment of Warrant Agent</w:t>
      </w:r>
      <w:r>
        <w:rPr>
          <w:rFonts w:ascii="Times New Roman" w:cs="Times New Roman" w:eastAsia="Times New Roman" w:hAnsi="Times New Roman"/>
          <w:sz w:val="18"/>
          <w:szCs w:val="18"/>
          <w:color w:val="auto"/>
        </w:rPr>
        <w:t>. The Company hereby appoints the Warrant Agent to act as agent for the Company for each series of the Warrants, and the Warrant Agent hereby accepts such appointment and agrees to perform the same in accordance with the express terms and conditions set forth in this Warrant Agreement. For the avoidance of doubt, the Company is not appointing the Warrant Agent to act as agent for any incentive options existing on the date hereof that have vesting conditions.</w:t>
      </w:r>
    </w:p>
    <w:p>
      <w:pPr>
        <w:spacing w:after="0" w:line="18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1300" w:right="40" w:hanging="646"/>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18"/>
          <w:szCs w:val="18"/>
          <w:u w:val="single" w:color="auto"/>
          <w:color w:val="auto"/>
        </w:rPr>
        <w:t>Form of Warrant</w:t>
      </w:r>
      <w:r>
        <w:rPr>
          <w:rFonts w:ascii="Times New Roman" w:cs="Times New Roman" w:eastAsia="Times New Roman" w:hAnsi="Times New Roman"/>
          <w:sz w:val="18"/>
          <w:szCs w:val="18"/>
          <w:color w:val="auto"/>
        </w:rPr>
        <w:t>. Each series of Warrants shall be: (a) issued in registered, book-entry form only, (b) in substantially in the forms of</w:t>
      </w:r>
      <w:r>
        <w:rPr>
          <w:rFonts w:ascii="Times New Roman" w:cs="Times New Roman" w:eastAsia="Times New Roman" w:hAnsi="Times New Roman"/>
          <w:sz w:val="18"/>
          <w:szCs w:val="18"/>
          <w:u w:val="single" w:color="auto"/>
          <w:color w:val="auto"/>
        </w:rPr>
        <w:t xml:space="preserve"> Exhibit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attached hereto (a “</w:t>
      </w:r>
      <w:r>
        <w:rPr>
          <w:rFonts w:ascii="Times New Roman" w:cs="Times New Roman" w:eastAsia="Times New Roman" w:hAnsi="Times New Roman"/>
          <w:sz w:val="18"/>
          <w:szCs w:val="18"/>
          <w:b w:val="1"/>
          <w:bCs w:val="1"/>
          <w:color w:val="auto"/>
        </w:rPr>
        <w:t>Warrant Certificate</w:t>
      </w:r>
      <w:r>
        <w:rPr>
          <w:rFonts w:ascii="Times New Roman" w:cs="Times New Roman" w:eastAsia="Times New Roman" w:hAnsi="Times New Roman"/>
          <w:sz w:val="18"/>
          <w:szCs w:val="18"/>
          <w:color w:val="auto"/>
        </w:rPr>
        <w:t>”), (c) signed by, or bear the facsimile signature of, the Chairman of the Board of Directors of the Company, the Chief Executive Officer, the President, the Chief Financial Officer, the Treasurer or Secretary of the Company, and (d) signed manually or by facsimile signature by the Warrant Agent.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95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4" w:name="page135"/>
    <w:bookmarkEnd w:id="134"/>
    <w:p>
      <w:pPr>
        <w:ind w:left="640" w:right="320" w:hanging="645"/>
        <w:spacing w:after="0" w:line="281" w:lineRule="auto"/>
        <w:tabs>
          <w:tab w:leader="none" w:pos="62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u w:val="single" w:color="auto"/>
          <w:color w:val="auto"/>
        </w:rPr>
        <w:t>Effect of Countersignature</w:t>
      </w:r>
      <w:r>
        <w:rPr>
          <w:rFonts w:ascii="Times New Roman" w:cs="Times New Roman" w:eastAsia="Times New Roman" w:hAnsi="Times New Roman"/>
          <w:sz w:val="18"/>
          <w:szCs w:val="18"/>
          <w:color w:val="auto"/>
        </w:rPr>
        <w:t>. Unless and until countersigned by the manual or facsimile signature of the Warrant Agent pursuant to this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Warrant Agreement, a Warrant shall be invalid and of no effect and may not be exercised by the holder thereof.</w:t>
      </w:r>
    </w:p>
    <w:p>
      <w:pPr>
        <w:spacing w:after="0" w:line="16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7"/>
          <w:szCs w:val="17"/>
          <w:u w:val="single" w:color="auto"/>
          <w:color w:val="auto"/>
        </w:rPr>
        <w:t>Registration</w:t>
      </w:r>
      <w:r>
        <w:rPr>
          <w:rFonts w:ascii="Times New Roman" w:cs="Times New Roman" w:eastAsia="Times New Roman" w:hAnsi="Times New Roman"/>
          <w:sz w:val="17"/>
          <w:szCs w:val="17"/>
          <w:color w:val="auto"/>
        </w:rPr>
        <w:t>.</w:t>
      </w:r>
    </w:p>
    <w:p>
      <w:pPr>
        <w:spacing w:after="0" w:line="220" w:lineRule="exact"/>
        <w:rPr>
          <w:sz w:val="20"/>
          <w:szCs w:val="20"/>
          <w:color w:val="auto"/>
        </w:rPr>
      </w:pPr>
    </w:p>
    <w:p>
      <w:pPr>
        <w:ind w:left="640"/>
        <w:spacing w:after="0"/>
        <w:tabs>
          <w:tab w:leader="none" w:pos="126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auto"/>
        </w:rPr>
        <w:t>Warrant Register</w:t>
      </w:r>
      <w:r>
        <w:rPr>
          <w:rFonts w:ascii="Times New Roman" w:cs="Times New Roman" w:eastAsia="Times New Roman" w:hAnsi="Times New Roman"/>
          <w:sz w:val="17"/>
          <w:szCs w:val="17"/>
          <w:color w:val="auto"/>
        </w:rPr>
        <w:t>. The Warrant Agent shall maintain books (the “</w:t>
      </w:r>
      <w:r>
        <w:rPr>
          <w:rFonts w:ascii="Times New Roman" w:cs="Times New Roman" w:eastAsia="Times New Roman" w:hAnsi="Times New Roman"/>
          <w:sz w:val="17"/>
          <w:szCs w:val="17"/>
          <w:b w:val="1"/>
          <w:bCs w:val="1"/>
          <w:color w:val="auto"/>
        </w:rPr>
        <w:t>Warrant Register</w:t>
      </w:r>
      <w:r>
        <w:rPr>
          <w:rFonts w:ascii="Times New Roman" w:cs="Times New Roman" w:eastAsia="Times New Roman" w:hAnsi="Times New Roman"/>
          <w:sz w:val="17"/>
          <w:szCs w:val="17"/>
          <w:color w:val="auto"/>
        </w:rPr>
        <w:t>”), for the registration of the original</w:t>
      </w:r>
    </w:p>
    <w:p>
      <w:pPr>
        <w:spacing w:after="0" w:line="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issuance and transfers of the Warrants. Upon the initial issuance of the Warrants, the Warrant Agent shall issue and register the</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Warrants in the names of the respective holders thereof in such denominations and otherwise in accordance with instructions</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delivered to the Warrant Agent by the Company. Except as provided in this Section 2‎.3.1, upon the initial issuance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4270375</wp:posOffset>
            </wp:positionH>
            <wp:positionV relativeFrom="paragraph">
              <wp:posOffset>-19685</wp:posOffset>
            </wp:positionV>
            <wp:extent cx="5981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4">
                      <a:extLst>
                        <a:ext uri="{28A0092B-C50C-407E-A947-70E740481C1C}"/>
                      </a:extLst>
                    </a:blip>
                    <a:srcRect/>
                    <a:stretch>
                      <a:fillRect/>
                    </a:stretch>
                  </pic:blipFill>
                  <pic:spPr bwMode="auto">
                    <a:xfrm>
                      <a:off x="0" y="0"/>
                      <a:ext cx="598170" cy="8255"/>
                    </a:xfrm>
                    <a:prstGeom prst="rect">
                      <a:avLst/>
                    </a:prstGeom>
                    <a:noFill/>
                  </pic:spPr>
                </pic:pic>
              </a:graphicData>
            </a:graphic>
          </wp:anchor>
        </w:drawing>
      </w:r>
    </w:p>
    <w:p>
      <w:pPr>
        <w:ind w:left="1280"/>
        <w:spacing w:after="0"/>
        <w:rPr>
          <w:sz w:val="20"/>
          <w:szCs w:val="20"/>
          <w:color w:val="auto"/>
        </w:rPr>
      </w:pPr>
      <w:r>
        <w:rPr>
          <w:rFonts w:ascii="Times New Roman" w:cs="Times New Roman" w:eastAsia="Times New Roman" w:hAnsi="Times New Roman"/>
          <w:sz w:val="18"/>
          <w:szCs w:val="18"/>
          <w:color w:val="auto"/>
        </w:rPr>
        <w:t>Warrants, to the extent the Warrants are DTC eligible as of such date, all of the Warrants shall initially be represented by one or</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more Warrant Certificates reflecting book-entry of ownership (each a “</w:t>
      </w:r>
      <w:r>
        <w:rPr>
          <w:rFonts w:ascii="Times New Roman" w:cs="Times New Roman" w:eastAsia="Times New Roman" w:hAnsi="Times New Roman"/>
          <w:sz w:val="18"/>
          <w:szCs w:val="18"/>
          <w:b w:val="1"/>
          <w:bCs w:val="1"/>
          <w:color w:val="auto"/>
        </w:rPr>
        <w:t>Book-Entry Warrant Certificate</w:t>
      </w:r>
      <w:r>
        <w:rPr>
          <w:rFonts w:ascii="Times New Roman" w:cs="Times New Roman" w:eastAsia="Times New Roman" w:hAnsi="Times New Roman"/>
          <w:sz w:val="18"/>
          <w:szCs w:val="18"/>
          <w:color w:val="auto"/>
        </w:rPr>
        <w:t>”), deposited with The</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Depository Trust Company (the “</w:t>
      </w:r>
      <w:r>
        <w:rPr>
          <w:rFonts w:ascii="Times New Roman" w:cs="Times New Roman" w:eastAsia="Times New Roman" w:hAnsi="Times New Roman"/>
          <w:sz w:val="18"/>
          <w:szCs w:val="18"/>
          <w:b w:val="1"/>
          <w:bCs w:val="1"/>
          <w:color w:val="auto"/>
        </w:rPr>
        <w:t>Depository</w:t>
      </w:r>
      <w:r>
        <w:rPr>
          <w:rFonts w:ascii="Times New Roman" w:cs="Times New Roman" w:eastAsia="Times New Roman" w:hAnsi="Times New Roman"/>
          <w:sz w:val="18"/>
          <w:szCs w:val="18"/>
          <w:color w:val="auto"/>
        </w:rPr>
        <w:t>”) and registered in the name of Cede &amp; Co., a nominee of the Depository.</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Ownership of beneficial interests in the Book-Entry Warrant Certificates shall be shown on, and the transfer of such ownership</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shall be effected through, records maintained (i) by the Depository or its nominee for each Book-Entry Warrant Certificate; (ii)</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by institutions that have accounts with the Depository (such institution, with respect to a Warrant in its account, a</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or (iii) directly on the book-entry records of the Warrant Agent with respect only to owners of beneficial</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interests that request such direct registration. If the Warrants are not DTC-eligible at the issuance date or the Depository</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subsequently ceases to make its book-entry settlement system available for the Warrants, the Company may instruct the Warrant</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7"/>
          <w:szCs w:val="17"/>
          <w:color w:val="auto"/>
        </w:rPr>
        <w:t>Agent regarding making other arrangements for book-entry settlement within ten (10) Business Days (as defined below) after the</w:t>
      </w:r>
    </w:p>
    <w:p>
      <w:pPr>
        <w:spacing w:after="0" w:line="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Depository ceases to make its book-entry settlement available. In such event, the transfer, exchange or exercise of the Warrants</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shall be conducted in accordance with the customary procedures of the Warrant Agent. In the event that the Company does not</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make alternative arrangements for book-entry settlement within ten (10) Business Days, or the Warrants are not eligible for, or it</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is no longer necessary to have the Warrants available in, book-entry form, the Warrant Agent shall provide written instructions,</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upon receipt of such instructions from the Company, to the Depository to deliver to the Warrant Agent for cancellation each</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Book-Entry Warrant Certificate, and the Company shall instruct the Warrant Agent to deliver to the Holder definitive Warrant</w:t>
      </w:r>
    </w:p>
    <w:p>
      <w:pPr>
        <w:spacing w:after="0" w:line="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Certificates in physical form evidencing such Warrants.</w:t>
      </w:r>
    </w:p>
    <w:p>
      <w:pPr>
        <w:spacing w:after="0" w:line="206" w:lineRule="exact"/>
        <w:rPr>
          <w:sz w:val="20"/>
          <w:szCs w:val="20"/>
          <w:color w:val="auto"/>
        </w:rPr>
      </w:pPr>
    </w:p>
    <w:p>
      <w:pPr>
        <w:ind w:left="1280" w:hanging="646"/>
        <w:spacing w:after="0" w:line="254" w:lineRule="auto"/>
        <w:tabs>
          <w:tab w:leader="none" w:pos="1260" w:val="left"/>
        </w:tabs>
        <w:rPr>
          <w:sz w:val="20"/>
          <w:szCs w:val="20"/>
          <w:color w:val="auto"/>
        </w:rPr>
      </w:pPr>
      <w:r>
        <w:rPr>
          <w:rFonts w:ascii="Times New Roman" w:cs="Times New Roman" w:eastAsia="Times New Roman" w:hAnsi="Times New Roman"/>
          <w:sz w:val="18"/>
          <w:szCs w:val="18"/>
          <w:color w:val="auto"/>
        </w:rPr>
        <w:t>2.3.2</w:t>
      </w:r>
      <w:r>
        <w:rPr>
          <w:sz w:val="20"/>
          <w:szCs w:val="20"/>
          <w:color w:val="auto"/>
        </w:rPr>
        <w:tab/>
      </w:r>
      <w:r>
        <w:rPr>
          <w:rFonts w:ascii="Times New Roman" w:cs="Times New Roman" w:eastAsia="Times New Roman" w:hAnsi="Times New Roman"/>
          <w:sz w:val="18"/>
          <w:szCs w:val="18"/>
          <w:u w:val="single" w:color="auto"/>
          <w:color w:val="auto"/>
        </w:rPr>
        <w:t>Registered Holder; Beneficial Owners</w:t>
      </w:r>
      <w:r>
        <w:rPr>
          <w:rFonts w:ascii="Times New Roman" w:cs="Times New Roman" w:eastAsia="Times New Roman" w:hAnsi="Times New Roman"/>
          <w:sz w:val="18"/>
          <w:szCs w:val="18"/>
          <w:color w:val="auto"/>
        </w:rPr>
        <w:t>. Prior to due presentment for registration of transfer of any Warrant, the Company and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Warrant Agent may deem and treat the individual or entity in whose name such Warrant shall be registered upon the Warrant Register (“</w:t>
      </w:r>
      <w:r>
        <w:rPr>
          <w:rFonts w:ascii="Times New Roman" w:cs="Times New Roman" w:eastAsia="Times New Roman" w:hAnsi="Times New Roman"/>
          <w:sz w:val="18"/>
          <w:szCs w:val="18"/>
          <w:b w:val="1"/>
          <w:bCs w:val="1"/>
          <w:color w:val="auto"/>
        </w:rPr>
        <w:t>Registered Holder</w:t>
      </w:r>
      <w:r>
        <w:rPr>
          <w:rFonts w:ascii="Times New Roman" w:cs="Times New Roman" w:eastAsia="Times New Roman" w:hAnsi="Times New Roman"/>
          <w:sz w:val="18"/>
          <w:szCs w:val="18"/>
          <w:color w:val="auto"/>
        </w:rPr>
        <w:t>”) as the absolute owner of such Warrant and of each Warrant represented thereby (notwithstanding any notation of ownership or other writing on the Warrant Certificate made by anyone other than the Company or the Warrant Agent), for the purpose of any exercise thereof, and for all other purposes, and neither the Company nor the Warrant Agent shall be affected by any notice to the contrary. The term “beneficial owner” shall mean any person in whose name ownership of a beneficial interest in the Warrants evidenced by a Book-Entry Warrant Certificate is recorded in the records maintained by the Depository or its nominee or a Participant or the Warrant Agent (as the case may be).</w:t>
      </w:r>
    </w:p>
    <w:p>
      <w:pPr>
        <w:spacing w:after="0" w:line="200" w:lineRule="exact"/>
        <w:rPr>
          <w:sz w:val="20"/>
          <w:szCs w:val="20"/>
          <w:color w:val="auto"/>
        </w:rPr>
      </w:pPr>
    </w:p>
    <w:p>
      <w:pPr>
        <w:spacing w:after="0" w:line="20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95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560"/>
          </w:cols>
          <w:pgMar w:left="980" w:top="902" w:right="359" w:bottom="1440" w:gutter="0" w:footer="0" w:header="0"/>
        </w:sectPr>
      </w:pPr>
    </w:p>
    <w:bookmarkStart w:id="135" w:name="page136"/>
    <w:bookmarkEnd w:id="135"/>
    <w:p>
      <w:pPr>
        <w:ind w:left="1292" w:right="820" w:hanging="645"/>
        <w:spacing w:after="0" w:line="281" w:lineRule="auto"/>
        <w:tabs>
          <w:tab w:leader="none" w:pos="1272"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u w:val="single" w:color="auto"/>
          <w:color w:val="auto"/>
        </w:rPr>
        <w:t>Uncertificated Warrants</w:t>
      </w:r>
      <w:r>
        <w:rPr>
          <w:rFonts w:ascii="Times New Roman" w:cs="Times New Roman" w:eastAsia="Times New Roman" w:hAnsi="Times New Roman"/>
          <w:sz w:val="18"/>
          <w:szCs w:val="18"/>
          <w:color w:val="auto"/>
        </w:rPr>
        <w:t>. Notwithstanding the foregoing and anything else herein to the contrary, the Warrants may be issued in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uncertificated form if so specified by the Company.</w:t>
      </w:r>
    </w:p>
    <w:p>
      <w:pPr>
        <w:spacing w:after="0" w:line="162" w:lineRule="exact"/>
        <w:rPr>
          <w:sz w:val="20"/>
          <w:szCs w:val="20"/>
          <w:color w:val="auto"/>
        </w:rPr>
      </w:pPr>
    </w:p>
    <w:p>
      <w:pPr>
        <w:ind w:left="1292" w:right="60" w:hanging="645"/>
        <w:spacing w:after="0" w:line="257" w:lineRule="auto"/>
        <w:tabs>
          <w:tab w:leader="none" w:pos="1272"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The Company shall have provided prior to the date hereof an opinion of counsel, which states that, when issued, all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Warrant Shares: (i) will have been offered, sold or issued as part of an offering that was registered in compliance with the Securities Act or pursuant to an exemption from the registration requirements of the Securities Act; (ii) will be issued in compliance with any applicable state securities or “blue sky” laws (or, that the Warrant Shares are “covered securities” as defined in Section 18(b)(1)(A) of the Securities Act, as applicable); and (iii) will be validly issued, fully paid and non-assessable.</w:t>
      </w:r>
    </w:p>
    <w:p>
      <w:pPr>
        <w:spacing w:after="0" w:line="185" w:lineRule="exact"/>
        <w:rPr>
          <w:sz w:val="20"/>
          <w:szCs w:val="20"/>
          <w:color w:val="auto"/>
        </w:rPr>
      </w:pPr>
    </w:p>
    <w:p>
      <w:pPr>
        <w:ind w:left="652" w:hanging="652"/>
        <w:spacing w:after="0"/>
        <w:tabs>
          <w:tab w:leader="none" w:pos="65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 and Exercise of Warrants</w:t>
      </w:r>
      <w:r>
        <w:rPr>
          <w:rFonts w:ascii="Times New Roman" w:cs="Times New Roman" w:eastAsia="Times New Roman" w:hAnsi="Times New Roman"/>
          <w:sz w:val="18"/>
          <w:szCs w:val="18"/>
          <w:color w:val="auto"/>
        </w:rPr>
        <w:t>.</w:t>
      </w:r>
    </w:p>
    <w:p>
      <w:pPr>
        <w:spacing w:after="0" w:line="224" w:lineRule="exact"/>
        <w:rPr>
          <w:rFonts w:ascii="Times New Roman" w:cs="Times New Roman" w:eastAsia="Times New Roman" w:hAnsi="Times New Roman"/>
          <w:sz w:val="18"/>
          <w:szCs w:val="18"/>
          <w:color w:val="auto"/>
        </w:rPr>
      </w:pPr>
    </w:p>
    <w:p>
      <w:pPr>
        <w:ind w:left="1292" w:hanging="646"/>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w:t>
      </w:r>
      <w:r>
        <w:rPr>
          <w:rFonts w:ascii="Times New Roman" w:cs="Times New Roman" w:eastAsia="Times New Roman" w:hAnsi="Times New Roman"/>
          <w:sz w:val="18"/>
          <w:szCs w:val="18"/>
          <w:u w:val="single" w:color="auto"/>
          <w:color w:val="auto"/>
        </w:rPr>
        <w:t>Warrant Price</w:t>
      </w:r>
      <w:r>
        <w:rPr>
          <w:rFonts w:ascii="Times New Roman" w:cs="Times New Roman" w:eastAsia="Times New Roman" w:hAnsi="Times New Roman"/>
          <w:sz w:val="18"/>
          <w:szCs w:val="18"/>
          <w:color w:val="auto"/>
        </w:rPr>
        <w:t>. Each Warrant shall, when countersigned by the Warrant Agent, entitle the Registered Holder thereof, subject to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provisions of such Warrant and of this Warrant Agreement, to purchase from the Company the number of shares of Common Stock and at the price stated therein per share of Common Stock, subject to the adjustments provided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hereof and in the last sentence of this Section 3‎.1. The term “</w:t>
      </w:r>
      <w:r>
        <w:rPr>
          <w:rFonts w:ascii="Times New Roman" w:cs="Times New Roman" w:eastAsia="Times New Roman" w:hAnsi="Times New Roman"/>
          <w:sz w:val="18"/>
          <w:szCs w:val="18"/>
          <w:b w:val="1"/>
          <w:bCs w:val="1"/>
          <w:color w:val="auto"/>
        </w:rPr>
        <w:t>Warrant Price</w:t>
      </w:r>
      <w:r>
        <w:rPr>
          <w:rFonts w:ascii="Times New Roman" w:cs="Times New Roman" w:eastAsia="Times New Roman" w:hAnsi="Times New Roman"/>
          <w:sz w:val="18"/>
          <w:szCs w:val="18"/>
          <w:color w:val="auto"/>
        </w:rPr>
        <w:t>” as used in this Warrant Agreement refers to the price per share at which Common Stock may be purchased at the time such Warrant is exercised. The Company, in its sole discretion, may lower the Warrant Price at any time prior to the Expiration Date (as defined below); provided, that any such reduction remains in effect for no less than ten (10) Business Days and shall be identical in percentage terms among all of the then outstanding Warrants. The Company shall promptly notify the Warrant Agent in writing of any Warrant Price reduction.</w:t>
      </w:r>
    </w:p>
    <w:p>
      <w:pPr>
        <w:spacing w:after="0" w:line="182" w:lineRule="exact"/>
        <w:rPr>
          <w:rFonts w:ascii="Times New Roman" w:cs="Times New Roman" w:eastAsia="Times New Roman" w:hAnsi="Times New Roman"/>
          <w:sz w:val="18"/>
          <w:szCs w:val="18"/>
          <w:color w:val="auto"/>
        </w:rPr>
      </w:pPr>
    </w:p>
    <w:p>
      <w:pPr>
        <w:ind w:left="1292" w:right="140" w:hanging="646"/>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w:t>
      </w:r>
      <w:r>
        <w:rPr>
          <w:rFonts w:ascii="Times New Roman" w:cs="Times New Roman" w:eastAsia="Times New Roman" w:hAnsi="Times New Roman"/>
          <w:sz w:val="18"/>
          <w:szCs w:val="18"/>
          <w:u w:val="single" w:color="auto"/>
          <w:color w:val="auto"/>
        </w:rPr>
        <w:t>Duration of Warrants</w:t>
      </w:r>
      <w:r>
        <w:rPr>
          <w:rFonts w:ascii="Times New Roman" w:cs="Times New Roman" w:eastAsia="Times New Roman" w:hAnsi="Times New Roman"/>
          <w:sz w:val="18"/>
          <w:szCs w:val="18"/>
          <w:color w:val="auto"/>
        </w:rPr>
        <w:t>. A Warrant may be exercised only during the period (“</w:t>
      </w:r>
      <w:r>
        <w:rPr>
          <w:rFonts w:ascii="Times New Roman" w:cs="Times New Roman" w:eastAsia="Times New Roman" w:hAnsi="Times New Roman"/>
          <w:sz w:val="18"/>
          <w:szCs w:val="18"/>
          <w:b w:val="1"/>
          <w:bCs w:val="1"/>
          <w:color w:val="auto"/>
        </w:rPr>
        <w:t>Exercise Period</w:t>
      </w:r>
      <w:r>
        <w:rPr>
          <w:rFonts w:ascii="Times New Roman" w:cs="Times New Roman" w:eastAsia="Times New Roman" w:hAnsi="Times New Roman"/>
          <w:sz w:val="18"/>
          <w:szCs w:val="18"/>
          <w:color w:val="auto"/>
        </w:rPr>
        <w:t>”) and up to the expiration date as stated in</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Warrant Certificate for the relevant series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Each Warrant not exercised on or before the Expiration Date shall become null and void, and all rights thereunder and all rights in respect thereof under this Warrant Agreement shall cease at the close of business on the Expiration Date. The Company may extend the duration of the Warrants by delaying the Expiration Date; provided, however, that the Company will provide written notice of not less than twenty (20) days to the Warrant Agent and Registered Holders of such extension and that such extension shall be identical in duration among all of the then outstanding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821055</wp:posOffset>
            </wp:positionH>
            <wp:positionV relativeFrom="paragraph">
              <wp:posOffset>-1539240</wp:posOffset>
            </wp:positionV>
            <wp:extent cx="5130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6">
                      <a:extLst>
                        <a:ext uri="{28A0092B-C50C-407E-A947-70E740481C1C}"/>
                      </a:extLst>
                    </a:blip>
                    <a:srcRect/>
                    <a:stretch>
                      <a:fillRect/>
                    </a:stretch>
                  </pic:blipFill>
                  <pic:spPr bwMode="auto">
                    <a:xfrm>
                      <a:off x="0" y="0"/>
                      <a:ext cx="513080" cy="8255"/>
                    </a:xfrm>
                    <a:prstGeom prst="rect">
                      <a:avLst/>
                    </a:prstGeom>
                    <a:noFill/>
                  </pic:spPr>
                </pic:pic>
              </a:graphicData>
            </a:graphic>
          </wp:anchor>
        </w:drawing>
      </w:r>
    </w:p>
    <w:p>
      <w:pPr>
        <w:spacing w:after="0" w:line="378"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95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32"/>
          </w:cols>
          <w:pgMar w:left="328" w:top="902" w:right="339" w:bottom="1440" w:gutter="0" w:footer="0" w:header="0"/>
        </w:sectPr>
      </w:pPr>
    </w:p>
    <w:bookmarkStart w:id="136" w:name="page137"/>
    <w:bookmarkEnd w:id="136"/>
    <w:p>
      <w:pPr>
        <w:spacing w:after="0"/>
        <w:tabs>
          <w:tab w:leader="none" w:pos="62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7"/>
          <w:szCs w:val="17"/>
          <w:u w:val="single" w:color="auto"/>
          <w:color w:val="auto"/>
        </w:rPr>
        <w:t>Exercise of Warrants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left="1280" w:right="60" w:hanging="646"/>
        <w:spacing w:after="0" w:line="251" w:lineRule="auto"/>
        <w:tabs>
          <w:tab w:leader="none" w:pos="1260" w:val="left"/>
        </w:tabs>
        <w:rPr>
          <w:sz w:val="20"/>
          <w:szCs w:val="20"/>
          <w:color w:val="auto"/>
        </w:rPr>
      </w:pPr>
      <w:r>
        <w:rPr>
          <w:rFonts w:ascii="Times New Roman" w:cs="Times New Roman" w:eastAsia="Times New Roman" w:hAnsi="Times New Roman"/>
          <w:sz w:val="18"/>
          <w:szCs w:val="18"/>
          <w:color w:val="auto"/>
        </w:rPr>
        <w:t>3.3.1</w:t>
      </w:r>
      <w:r>
        <w:rPr>
          <w:sz w:val="20"/>
          <w:szCs w:val="20"/>
          <w:color w:val="auto"/>
        </w:rPr>
        <w:tab/>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Subject to the provisions of the Warrant and this Warrant Agreement, a Warrant, when countersigned by the Warrant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Agent, may be exercised by the Registered Holder thereof by surrendering at the office of the Warrant Agent, or at the office of its successor as Warrant Agent, designated for such purpose by the Warrant Agent from time to time (which, as of the date hereof, is at 150 Royall Street, Canton, Massachusetts 02021), (i) the Warrant Certificate evidencing the Warrants to be exercised, or, in the case of a Book-Entry Warrant Certificate, the Warrants to be exercised (the “</w:t>
      </w:r>
      <w:r>
        <w:rPr>
          <w:rFonts w:ascii="Times New Roman" w:cs="Times New Roman" w:eastAsia="Times New Roman" w:hAnsi="Times New Roman"/>
          <w:sz w:val="18"/>
          <w:szCs w:val="18"/>
          <w:b w:val="1"/>
          <w:bCs w:val="1"/>
          <w:color w:val="auto"/>
        </w:rPr>
        <w:t>Book-Entry Warrants</w:t>
      </w:r>
      <w:r>
        <w:rPr>
          <w:rFonts w:ascii="Times New Roman" w:cs="Times New Roman" w:eastAsia="Times New Roman" w:hAnsi="Times New Roman"/>
          <w:sz w:val="18"/>
          <w:szCs w:val="18"/>
          <w:color w:val="auto"/>
        </w:rPr>
        <w:t>”) shall be exercised as described herein and Section 1 of the Exercise Notice to such Warrant Certificate, (ii) the duly executed and completed notice of exercise form, as set forth in the Warrant Certificate (the “</w:t>
      </w:r>
      <w:r>
        <w:rPr>
          <w:rFonts w:ascii="Times New Roman" w:cs="Times New Roman" w:eastAsia="Times New Roman" w:hAnsi="Times New Roman"/>
          <w:sz w:val="18"/>
          <w:szCs w:val="18"/>
          <w:b w:val="1"/>
          <w:bCs w:val="1"/>
          <w:color w:val="auto"/>
        </w:rPr>
        <w:t>Exercise Notice</w:t>
      </w:r>
      <w:r>
        <w:rPr>
          <w:rFonts w:ascii="Times New Roman" w:cs="Times New Roman" w:eastAsia="Times New Roman" w:hAnsi="Times New Roman"/>
          <w:sz w:val="18"/>
          <w:szCs w:val="18"/>
          <w:color w:val="auto"/>
        </w:rPr>
        <w:t>”), in the case of a Book-Entry Warrant Certificate, properly delivered by the Participant in accordance with the Depository’s procedures, and (iii), unless the Holder exercises the Warrants pursuant to the Cashless Exercise (as defined below) provided in Section 8‎ of this Agreement, payment in full, in lawful money of the United States, in cash, by wire of same day funds according to the wire details provided by the Warrant Agent upon request of the Registered Holder, the Warrant Price for such number of Warrant Shares totaling whole shares of Common Stock as to which the Warrant is exercised and any and all applicable taxes due in connection with the exercise of the Warrant, the exchange of the Warrant for the Warrant Shares, and the issuance of the Warrant Shares. Notwithstanding any other provision in this Warrant Agreement, a holder whose interest in a Book-Entry Warrant is a beneficial interest in a Book-Entry Warrant held through the Depositary (or another established clearing corporation performing similar functions), shall effect exercises by delivering to the Depositary (or such other clearing corporation, as applicable) the appropriate instruction form for exercise, complying with the procedures to effect exercise that are required by Depositary (or such other clearing corporation, as applicable). Upon receipt of an Exercise Notice for a Cashless Exercise, the Company will promptly calculate and transmit to the Warrant Agent the number of Warrant Shares issuable in connection with such Cashless Exercise. The number of Warrant Shares to be issued on such exercise will be determined by the Company (with written notice thereof to the Warrant Agent) using the formula set forth in Section 8 of this Agreement, and the Warrant Agent shall have no duty or obligation to investigate or confirm whether the Company’s determination of the number of Warrant Shares to be issued on such exercise pursuant to Section 8 is accurate or correct.</w:t>
      </w:r>
    </w:p>
    <w:p>
      <w:pPr>
        <w:spacing w:after="0" w:line="193" w:lineRule="exact"/>
        <w:rPr>
          <w:sz w:val="20"/>
          <w:szCs w:val="20"/>
          <w:color w:val="auto"/>
        </w:rPr>
      </w:pPr>
    </w:p>
    <w:p>
      <w:pPr>
        <w:ind w:left="1280" w:hanging="646"/>
        <w:spacing w:after="0" w:line="251" w:lineRule="auto"/>
        <w:tabs>
          <w:tab w:leader="none" w:pos="1260" w:val="left"/>
        </w:tabs>
        <w:rPr>
          <w:sz w:val="20"/>
          <w:szCs w:val="20"/>
          <w:color w:val="auto"/>
        </w:rPr>
      </w:pPr>
      <w:r>
        <w:rPr>
          <w:rFonts w:ascii="Times New Roman" w:cs="Times New Roman" w:eastAsia="Times New Roman" w:hAnsi="Times New Roman"/>
          <w:sz w:val="18"/>
          <w:szCs w:val="18"/>
          <w:color w:val="auto"/>
        </w:rPr>
        <w:t>3.3.2</w:t>
      </w:r>
      <w:r>
        <w:rPr>
          <w:sz w:val="20"/>
          <w:szCs w:val="20"/>
          <w:color w:val="auto"/>
        </w:rPr>
        <w:tab/>
      </w: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Notwithstanding any provision to the contrary contained in this Warrant Agreement, the Company shall not be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required to issue any fractional shares of Common Stock in connection with the exercise of Warrants for Warrant Shares, and in any case where the Registered Holder would be entitled under the terms of the Warrants to receive a fractional share of Common Stock as a Warrant Share upon the exercise of such Registered Holder’s Warrants, issue or cause to be issued only the largest whole number of aggregate Warrant Shares issuable on such exercise (and such remaining fractional shares will be disregarded); provided, that if more than one Warrant Certificate is presented for exercise at the same time by the same Registered Holder, the number of Warrant Shares which shall be issuable upon the exercise thereof shall be computed on the basis of the aggregate number of Warrant Shares issuable on exercise of all such Warrants. The Company shall provide an initial funding of one thousand dollars ($1,000) for the purpose of issuing cash in lieu of fractional shares. From time to time thereafter, the Warrant Agent may request additional funding to cover payments for fractional Warrant Shares. Whenever a payment for fractional shares is to be made by the Warrant Agent under this Warrant Agreement, the Company shall (i) promptly prepare and deliver to the Warrant Agent a certificate setting forth in reasonable detail the facts related to such payment and the prices or formulas utilized in calculating such payments and (ii) provide sufficient monies to the Warrant Agent in the form of fully collected funds to make such payments. The Warrant Agent may rely upon such a certificate and has no duty with respect to, and will not be deemed to have knowledge of, any payment for fractional shares under any section of this Warrant Agreement relating to the payment of fractional shares unless and until the Warrant Agent has received such a certificate and the necessary funds to pay in full all amounts due and payable with respect thereto.</w:t>
      </w:r>
    </w:p>
    <w:p>
      <w:pPr>
        <w:spacing w:after="0" w:line="200" w:lineRule="exact"/>
        <w:rPr>
          <w:sz w:val="20"/>
          <w:szCs w:val="20"/>
          <w:color w:val="auto"/>
        </w:rPr>
      </w:pPr>
    </w:p>
    <w:p>
      <w:pPr>
        <w:spacing w:after="0" w:line="214"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95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560"/>
          </w:cols>
          <w:pgMar w:left="980" w:top="902" w:right="359" w:bottom="1440" w:gutter="0" w:footer="0" w:header="0"/>
        </w:sectPr>
      </w:pPr>
    </w:p>
    <w:bookmarkStart w:id="137" w:name="page138"/>
    <w:bookmarkEnd w:id="137"/>
    <w:p>
      <w:pPr>
        <w:ind w:left="820" w:hanging="646"/>
        <w:spacing w:after="0" w:line="250" w:lineRule="auto"/>
        <w:tabs>
          <w:tab w:leader="none" w:pos="800" w:val="left"/>
        </w:tabs>
        <w:rPr>
          <w:sz w:val="20"/>
          <w:szCs w:val="20"/>
          <w:color w:val="auto"/>
        </w:rPr>
      </w:pPr>
      <w:r>
        <w:rPr>
          <w:rFonts w:ascii="Times New Roman" w:cs="Times New Roman" w:eastAsia="Times New Roman" w:hAnsi="Times New Roman"/>
          <w:sz w:val="18"/>
          <w:szCs w:val="18"/>
          <w:color w:val="auto"/>
        </w:rPr>
        <w:t>3.3.3</w:t>
      </w:r>
      <w:r>
        <w:rPr>
          <w:sz w:val="20"/>
          <w:szCs w:val="20"/>
          <w:color w:val="auto"/>
        </w:rPr>
        <w:tab/>
      </w:r>
      <w:r>
        <w:rPr>
          <w:rFonts w:ascii="Times New Roman" w:cs="Times New Roman" w:eastAsia="Times New Roman" w:hAnsi="Times New Roman"/>
          <w:sz w:val="18"/>
          <w:szCs w:val="18"/>
          <w:u w:val="single" w:color="auto"/>
          <w:color w:val="auto"/>
        </w:rPr>
        <w:t>Issuance of Certificates</w:t>
      </w:r>
      <w:r>
        <w:rPr>
          <w:rFonts w:ascii="Times New Roman" w:cs="Times New Roman" w:eastAsia="Times New Roman" w:hAnsi="Times New Roman"/>
          <w:sz w:val="18"/>
          <w:szCs w:val="18"/>
          <w:color w:val="auto"/>
        </w:rPr>
        <w:t>. As soon as practicable after the exercise of any Warrant and the clearance of the funds in payment of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Warrant Price, the Warrant Agent shall advise the Company and its transfer agent regarding (i) the number of Warrant Shares issuable upon such exercise in accordance with the terms and conditions of this Warrant Agreement, (ii) the instructions of each Holder or Participant, as they case may be, with respect to delivery of the Warrant Shares issuable upon such exercise, (iii) in case of a Book-Entry Warrant Certificate, the notation that shall be made to the records maintained by the Depository, its nominee for each Book-Entry Warrant Certificate, or a Participant, as appropriate, evidencing the balance, if any, of the Warrants remaining after such exercise and (iv) such other information as the Company or such transfer agent and registrar shall reasonably require. Promptly thereafter and within the time period set forth in the Warrants, the Company shall instruct its transfer agent to issue to the Registered Holder of such Warrant a certificate or certificates representing the number of full shares of Common Stock to which he, she or it is entitled, registered in such name or names as may be directed by him, her or it, provided, in lieu of delivering physical certificates representing the Warrant Shares issuable upon exercise, and provided the Company’s transfer agent is participating in the Depository’s Fast Automated Securities Transfer program, the Company shall use its commercially reasonable efforts to cause its transfer agent to electronically transmit the Warrant Shares issuable upon exercise to the Registered Holder by crediting the account of the Participant of record with the Depository or through its Deposit Withdrawal Agent Commission system. If such Warrant shall not have been exercised or surrendered in full, in case of a Book-Entry Warrant Certificate, a notation shall be made to the records maintained by the Depository or nominee for each Book-Entry Warrant Certificate, evidencing the balance, if any, of the Warrants remaining after such exercise. Notwithstanding the foregoing, the Company shall not be obligated to deliver any securities pursuant to the exercise of a Warrant unless (a) a registration statement under the Securities Act with respect to the Common Stock issuable upon exercise of such Warrants is effective and a current prospectus relating to the shares of Common Stock issuable upon exercise of the Warrants is available for delivery to the Registered Holder of the Warrant or (b) in the absence of a registration statement under the Securities Act with respect to the Common Stock and a current prospectus relating to the shares of Common Stock, in the opinion of counsel to the Company, the exercise of the Warrants is exempt from the registration requirements of the Securities Act and such securities are qualified for sale or exempt from qualification under applicable securities laws of the states or other jurisdictions in which the Registered Holder resides; provided that in the case of a Cashless Exercise, no registration statement under the Securities Act with respect to the Common Stock and no current prospectus relating to the shares of Common Stock, and no opinion of counsel shall be required. Pursuant to written confirmation from the Company, the Warrant Agent shall be entitled to assume that either clause (a) or clause (b) is in effect and shall incur no liability in making such assumption based on such written confirmation. Warrants may not be exercised by, or securities issued to, any Registered Holder in any state in which such exercise or issuance would be unlawful. In the event a such exercise would be unlawful with respect to a Registered Holder in any state, the Registered Holder shall not be entitled to exercise such Warrants and such Warrants may have no value and expire worthless. In no event will the Company be obligated to pay such Registered Holder any cash consideration upon exercise or otherwise “net cash settle” the Warrant.</w:t>
      </w:r>
    </w:p>
    <w:p>
      <w:pPr>
        <w:spacing w:after="0" w:line="212" w:lineRule="exact"/>
        <w:rPr>
          <w:sz w:val="20"/>
          <w:szCs w:val="20"/>
          <w:color w:val="auto"/>
        </w:rPr>
      </w:pPr>
    </w:p>
    <w:p>
      <w:pPr>
        <w:ind w:left="820" w:right="100" w:hanging="646"/>
        <w:spacing w:after="0" w:line="260" w:lineRule="auto"/>
        <w:tabs>
          <w:tab w:leader="none" w:pos="800" w:val="left"/>
        </w:tabs>
        <w:rPr>
          <w:sz w:val="20"/>
          <w:szCs w:val="20"/>
          <w:color w:val="auto"/>
        </w:rPr>
      </w:pPr>
      <w:r>
        <w:rPr>
          <w:rFonts w:ascii="Times New Roman" w:cs="Times New Roman" w:eastAsia="Times New Roman" w:hAnsi="Times New Roman"/>
          <w:sz w:val="18"/>
          <w:szCs w:val="18"/>
          <w:color w:val="auto"/>
        </w:rPr>
        <w:t>3.3.4</w:t>
      </w:r>
      <w:r>
        <w:rPr>
          <w:sz w:val="20"/>
          <w:szCs w:val="20"/>
          <w:color w:val="auto"/>
        </w:rPr>
        <w:tab/>
      </w: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The validity of any exercise of Warrants will be determined by the Company in its reasonable discretion.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Warrant Agent shall notify a holder of any purported invalidity of any exercise of Warrants. All shares of Common Stock issued upon the proper exercise or surrender of a Warrant in conformity with this Warrant Agreement shall be validly issued, fully paid and nonassessable.</w:t>
      </w:r>
    </w:p>
    <w:p>
      <w:pPr>
        <w:spacing w:after="0" w:line="39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95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120"/>
          </w:cols>
          <w:pgMar w:left="1440" w:top="902" w:right="339" w:bottom="1440" w:gutter="0" w:footer="0" w:header="0"/>
        </w:sectPr>
      </w:pPr>
    </w:p>
    <w:bookmarkStart w:id="138" w:name="page139"/>
    <w:bookmarkEnd w:id="138"/>
    <w:p>
      <w:pPr>
        <w:jc w:val="both"/>
        <w:ind w:left="1932" w:right="20" w:hanging="646"/>
        <w:spacing w:after="0" w:line="269" w:lineRule="auto"/>
        <w:tabs>
          <w:tab w:leader="none" w:pos="1912" w:val="left"/>
        </w:tabs>
        <w:rPr>
          <w:sz w:val="20"/>
          <w:szCs w:val="20"/>
          <w:color w:val="auto"/>
        </w:rPr>
      </w:pPr>
      <w:r>
        <w:rPr>
          <w:rFonts w:ascii="Times New Roman" w:cs="Times New Roman" w:eastAsia="Times New Roman" w:hAnsi="Times New Roman"/>
          <w:sz w:val="18"/>
          <w:szCs w:val="18"/>
          <w:color w:val="auto"/>
        </w:rPr>
        <w:t>3.3.5</w:t>
      </w:r>
      <w:r>
        <w:rPr>
          <w:sz w:val="20"/>
          <w:szCs w:val="20"/>
          <w:color w:val="auto"/>
        </w:rPr>
        <w:tab/>
      </w:r>
      <w:r>
        <w:rPr>
          <w:rFonts w:ascii="Times New Roman" w:cs="Times New Roman" w:eastAsia="Times New Roman" w:hAnsi="Times New Roman"/>
          <w:sz w:val="17"/>
          <w:szCs w:val="17"/>
          <w:u w:val="single" w:color="auto"/>
          <w:color w:val="auto"/>
        </w:rPr>
        <w:t>Date of Issuance</w:t>
      </w:r>
      <w:r>
        <w:rPr>
          <w:rFonts w:ascii="Times New Roman" w:cs="Times New Roman" w:eastAsia="Times New Roman" w:hAnsi="Times New Roman"/>
          <w:sz w:val="17"/>
          <w:szCs w:val="17"/>
          <w:color w:val="auto"/>
        </w:rPr>
        <w:t>. Each person in whose name any shares of Common Stock is issued shall, for all purposes, be deemed to have</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become the holder of record of such shares on the date on which the Warrant was surrendered and payment of the Warrant Price was made, irrespective of the date of delivery of such certificate, except that, if the date of such surrender and payment is a date when the stock transfer books of the Company are closed, such person shall be deemed to have become the holder of such shares at the close of business on the next succeeding date on which the stock transfer books are open (the “</w:t>
      </w:r>
      <w:r>
        <w:rPr>
          <w:rFonts w:ascii="Times New Roman" w:cs="Times New Roman" w:eastAsia="Times New Roman" w:hAnsi="Times New Roman"/>
          <w:sz w:val="17"/>
          <w:szCs w:val="17"/>
          <w:b w:val="1"/>
          <w:bCs w:val="1"/>
          <w:color w:val="auto"/>
        </w:rPr>
        <w:t>Exercise Date</w:t>
      </w:r>
      <w:r>
        <w:rPr>
          <w:rFonts w:ascii="Times New Roman" w:cs="Times New Roman" w:eastAsia="Times New Roman" w:hAnsi="Times New Roman"/>
          <w:sz w:val="17"/>
          <w:szCs w:val="17"/>
          <w:color w:val="auto"/>
        </w:rPr>
        <w:t>”). If any of</w:t>
      </w:r>
    </w:p>
    <w:p>
      <w:pPr>
        <w:ind w:left="1932" w:right="80" w:firstLine="7"/>
        <w:spacing w:after="0" w:line="251" w:lineRule="auto"/>
        <w:tabs>
          <w:tab w:leader="none" w:pos="2146"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Certificate or the Book-Entry Warrants, (ii) the Exercise Notice, or (iii) the Warrant Price therefor, is received by the Warrant Agent after 5:00 P.M., New York time, on the specified Exercise Date, the Warrants will be deemed to be received and exercised on the Business Day next succeeding the Exercise Date, subject to clearance of the funds. If the date specified as the Exercise Date is not a Business Day, the Warrants will be deemed to be received and exercised on the next succeeding day that is a Business Day, subject to clearance of the funds. If the Warrants are received or deemed to be received after the Expiration Date, the exercise thereof will be null and void and any funds delivered to the Warrant Agent will be returned to the Registered Holder as soon as practicable.</w:t>
      </w:r>
    </w:p>
    <w:p>
      <w:pPr>
        <w:spacing w:after="0" w:line="190" w:lineRule="exact"/>
        <w:rPr>
          <w:sz w:val="20"/>
          <w:szCs w:val="20"/>
          <w:color w:val="auto"/>
        </w:rPr>
      </w:pPr>
    </w:p>
    <w:p>
      <w:pPr>
        <w:ind w:left="1292"/>
        <w:spacing w:after="0"/>
        <w:tabs>
          <w:tab w:leader="none" w:pos="1912" w:val="left"/>
        </w:tabs>
        <w:rPr>
          <w:sz w:val="20"/>
          <w:szCs w:val="20"/>
          <w:color w:val="auto"/>
        </w:rPr>
      </w:pPr>
      <w:r>
        <w:rPr>
          <w:rFonts w:ascii="Times New Roman" w:cs="Times New Roman" w:eastAsia="Times New Roman" w:hAnsi="Times New Roman"/>
          <w:sz w:val="18"/>
          <w:szCs w:val="18"/>
          <w:color w:val="auto"/>
        </w:rPr>
        <w:t>3.3.6</w:t>
      </w:r>
      <w:r>
        <w:rPr>
          <w:sz w:val="20"/>
          <w:szCs w:val="20"/>
          <w:color w:val="auto"/>
        </w:rPr>
        <w:tab/>
      </w:r>
      <w:r>
        <w:rPr>
          <w:rFonts w:ascii="Times New Roman" w:cs="Times New Roman" w:eastAsia="Times New Roman" w:hAnsi="Times New Roman"/>
          <w:sz w:val="18"/>
          <w:szCs w:val="18"/>
          <w:u w:val="single" w:color="auto"/>
          <w:color w:val="auto"/>
        </w:rPr>
        <w:t>Cost Basis Information</w:t>
      </w:r>
      <w:r>
        <w:rPr>
          <w:rFonts w:ascii="Times New Roman" w:cs="Times New Roman" w:eastAsia="Times New Roman" w:hAnsi="Times New Roman"/>
          <w:sz w:val="18"/>
          <w:szCs w:val="18"/>
          <w:color w:val="auto"/>
        </w:rPr>
        <w:t>.</w:t>
      </w:r>
    </w:p>
    <w:p>
      <w:pPr>
        <w:spacing w:after="0" w:line="224" w:lineRule="exact"/>
        <w:rPr>
          <w:sz w:val="20"/>
          <w:szCs w:val="20"/>
          <w:color w:val="auto"/>
        </w:rPr>
      </w:pPr>
    </w:p>
    <w:p>
      <w:pPr>
        <w:ind w:left="1932" w:right="120" w:firstLine="7"/>
        <w:spacing w:after="0" w:line="281" w:lineRule="auto"/>
        <w:tabs>
          <w:tab w:leader="none" w:pos="2176"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cash exercise, the Company hereby instructs the Warrant Agent to record cost basis for newly issued shares in a manner to be subsequently communicated by the Company in writing to the Warrant Agent.</w:t>
      </w:r>
    </w:p>
    <w:p>
      <w:pPr>
        <w:spacing w:after="0" w:line="161" w:lineRule="exact"/>
        <w:rPr>
          <w:rFonts w:ascii="Times New Roman" w:cs="Times New Roman" w:eastAsia="Times New Roman" w:hAnsi="Times New Roman"/>
          <w:sz w:val="18"/>
          <w:szCs w:val="18"/>
          <w:color w:val="auto"/>
        </w:rPr>
      </w:pPr>
    </w:p>
    <w:p>
      <w:pPr>
        <w:ind w:left="1932" w:right="20" w:firstLine="7"/>
        <w:spacing w:after="0" w:line="265" w:lineRule="auto"/>
        <w:tabs>
          <w:tab w:leader="none" w:pos="2186" w:val="left"/>
        </w:tabs>
        <w:numPr>
          <w:ilvl w:val="2"/>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Cashless Exercise, the Company shall provide cost basis for shares issued pursuant to a Cashless Exercise at the time the Company confirms the number of Warrant Shares issuable in connection with the cashless exercise to the Warrant Agent pursuant to Section 3‎.3.1 hereof.</w:t>
      </w:r>
    </w:p>
    <w:p>
      <w:pPr>
        <w:spacing w:after="0" w:line="176" w:lineRule="exact"/>
        <w:rPr>
          <w:rFonts w:ascii="Times New Roman" w:cs="Times New Roman" w:eastAsia="Times New Roman" w:hAnsi="Times New Roman"/>
          <w:sz w:val="18"/>
          <w:szCs w:val="18"/>
          <w:color w:val="auto"/>
        </w:rPr>
      </w:pPr>
    </w:p>
    <w:p>
      <w:pPr>
        <w:ind w:left="652" w:right="20" w:hanging="652"/>
        <w:spacing w:after="0" w:line="253" w:lineRule="auto"/>
        <w:tabs>
          <w:tab w:leader="none" w:pos="652"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Rights</w:t>
      </w:r>
      <w:r>
        <w:rPr>
          <w:rFonts w:ascii="Times New Roman" w:cs="Times New Roman" w:eastAsia="Times New Roman" w:hAnsi="Times New Roman"/>
          <w:sz w:val="18"/>
          <w:szCs w:val="18"/>
          <w:color w:val="auto"/>
        </w:rPr>
        <w:t>. The Warrant Shares and Warrant Price for each series shall be subject to adjustment as provided for in this Section 4. The Company hereby agrees that it will provide the Warrant Agent with reasonable written notice of any adjustment events as indicated in Sections 4‎.1 and 4‎.2. The Company further agrees that it will provide to the Warrant Agent with any new or amended exercise terms. Whenever the Warrant Shares or Warrant Price or the number of shares of Common Stock issuable upon the exercise of each Warrant is adjusted, the Company shall (a) promptly prepare a certificate setting forth the Warrant Price of each Warrant as so adjusted, and a brief statement of the facts accounting for such adjustment, (b) promptly file with the Warrant Agent and with each transfer agent for the Common Stock a copy of such certificate and (c) instruct the Warrant Agent to send a brief summary thereof to each Holder of a Warrant Certificate. The Warrant Agent shall be fully protected in relying on any such certificate and on any adjustment or statement therein contained and shall have no duty or liability with respect to, and shall not be deemed to have knowledge of any such adjustment or any such event unless and until it shall have received such certificate.</w:t>
      </w:r>
    </w:p>
    <w:p>
      <w:pPr>
        <w:spacing w:after="0" w:line="191" w:lineRule="exact"/>
        <w:rPr>
          <w:rFonts w:ascii="Times New Roman" w:cs="Times New Roman" w:eastAsia="Times New Roman" w:hAnsi="Times New Roman"/>
          <w:sz w:val="18"/>
          <w:szCs w:val="18"/>
          <w:color w:val="auto"/>
        </w:rPr>
      </w:pPr>
    </w:p>
    <w:p>
      <w:pPr>
        <w:ind w:left="1292" w:right="80" w:hanging="646"/>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4.1</w:t>
      </w:r>
      <w:r>
        <w:rPr>
          <w:rFonts w:ascii="Times New Roman" w:cs="Times New Roman" w:eastAsia="Times New Roman" w:hAnsi="Times New Roman"/>
          <w:sz w:val="17"/>
          <w:szCs w:val="17"/>
          <w:u w:val="single" w:color="auto"/>
          <w:color w:val="auto"/>
        </w:rPr>
        <w:t>Stock Dividends and Splits</w:t>
      </w:r>
      <w:r>
        <w:rPr>
          <w:rFonts w:ascii="Times New Roman" w:cs="Times New Roman" w:eastAsia="Times New Roman" w:hAnsi="Times New Roman"/>
          <w:sz w:val="17"/>
          <w:szCs w:val="17"/>
          <w:color w:val="auto"/>
        </w:rPr>
        <w:t>. If the Company, at any time while Warrants are outstanding, (i) pays a dividend on its Common Stock or</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otherwise makes a distribution on any class of share capital issued and outstanding on the issuance date of the Warrants (“</w:t>
      </w:r>
      <w:r>
        <w:rPr>
          <w:rFonts w:ascii="Times New Roman" w:cs="Times New Roman" w:eastAsia="Times New Roman" w:hAnsi="Times New Roman"/>
          <w:sz w:val="17"/>
          <w:szCs w:val="17"/>
          <w:b w:val="1"/>
          <w:bCs w:val="1"/>
          <w:color w:val="auto"/>
        </w:rPr>
        <w:t>Original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Issuance Date</w:t>
      </w:r>
      <w:r>
        <w:rPr>
          <w:rFonts w:ascii="Times New Roman" w:cs="Times New Roman" w:eastAsia="Times New Roman" w:hAnsi="Times New Roman"/>
          <w:sz w:val="17"/>
          <w:szCs w:val="17"/>
          <w:color w:val="auto"/>
        </w:rPr>
        <w:t>”) and in accordance with the terms of such securities on the Original Issue Date, (ii) subdivides its outstanding Common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 into a larger number of Common Stock, (iii) combines its outstanding Common Stock into a smaller number of Common Stock, or</w:t>
      </w:r>
    </w:p>
    <w:p>
      <w:pPr>
        <w:ind w:left="1292" w:firstLine="1"/>
        <w:spacing w:after="0" w:line="251" w:lineRule="auto"/>
        <w:tabs>
          <w:tab w:leader="none" w:pos="1596" w:val="left"/>
        </w:tabs>
        <w:numPr>
          <w:ilvl w:val="1"/>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reclassifies a class of share capital into Common Stock of the Company, then in each such case the Exercise Price shall be multiplied by a fraction, the numerator of which shall be the number of Common Stock outstanding immediately before such event and the denominator of which shall be the number of Common Stock outstanding immediately after such event. Any adjustment made pursuant to clause (i) of this paragraph shall become effective immediately after the record date for the determination of stockholders entitled to receive such dividend or distribution, provided, however, that if such record date shall have been fixed and such dividend is not fully paid on the date fixed therefor, the Exercise Price shall be recomputed accordingly as of the close of business on such record date and thereafter the Exercise Price shall be adjusted pursuant to this paragraph as of the time of actual payment of such dividends. Any adjustment pursuant to clause (ii) or (iii) of this paragraph shall become effective immediately after the effective date of such subdivision or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6538595</wp:posOffset>
            </wp:positionH>
            <wp:positionV relativeFrom="paragraph">
              <wp:posOffset>-2904490</wp:posOffset>
            </wp:positionV>
            <wp:extent cx="55753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0">
                      <a:extLst>
                        <a:ext uri="{28A0092B-C50C-407E-A947-70E740481C1C}"/>
                      </a:extLst>
                    </a:blip>
                    <a:srcRect/>
                    <a:stretch>
                      <a:fillRect/>
                    </a:stretch>
                  </pic:blipFill>
                  <pic:spPr bwMode="auto">
                    <a:xfrm>
                      <a:off x="0" y="0"/>
                      <a:ext cx="557530" cy="8255"/>
                    </a:xfrm>
                    <a:prstGeom prst="rect">
                      <a:avLst/>
                    </a:prstGeom>
                    <a:noFill/>
                  </pic:spPr>
                </pic:pic>
              </a:graphicData>
            </a:graphic>
          </wp:anchor>
        </w:drawing>
        <w:drawing>
          <wp:anchor simplePos="0" relativeHeight="251657728" behindDoc="1" locked="0" layoutInCell="0" allowOverlap="1">
            <wp:simplePos x="0" y="0"/>
            <wp:positionH relativeFrom="column">
              <wp:posOffset>410210</wp:posOffset>
            </wp:positionH>
            <wp:positionV relativeFrom="paragraph">
              <wp:posOffset>-2767330</wp:posOffset>
            </wp:positionV>
            <wp:extent cx="3352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1">
                      <a:extLst>
                        <a:ext uri="{28A0092B-C50C-407E-A947-70E740481C1C}"/>
                      </a:extLst>
                    </a:blip>
                    <a:srcRect/>
                    <a:stretch>
                      <a:fillRect/>
                    </a:stretch>
                  </pic:blipFill>
                  <pic:spPr bwMode="auto">
                    <a:xfrm>
                      <a:off x="0" y="0"/>
                      <a:ext cx="335280" cy="8255"/>
                    </a:xfrm>
                    <a:prstGeom prst="rect">
                      <a:avLst/>
                    </a:prstGeom>
                    <a:noFill/>
                  </pic:spPr>
                </pic:pic>
              </a:graphicData>
            </a:graphic>
          </wp:anchor>
        </w:drawing>
      </w:r>
    </w:p>
    <w:p>
      <w:pPr>
        <w:spacing w:after="0" w:line="38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95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12"/>
          </w:cols>
          <w:pgMar w:left="328" w:top="902" w:right="359" w:bottom="1440" w:gutter="0" w:footer="0" w:header="0"/>
        </w:sectPr>
      </w:pPr>
    </w:p>
    <w:bookmarkStart w:id="139" w:name="page140"/>
    <w:bookmarkEnd w:id="139"/>
    <w:p>
      <w:pPr>
        <w:ind w:left="1300" w:right="80" w:hanging="645"/>
        <w:spacing w:after="0" w:line="253" w:lineRule="auto"/>
        <w:tabs>
          <w:tab w:leader="none" w:pos="128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u w:val="single" w:color="auto"/>
          <w:color w:val="auto"/>
        </w:rPr>
        <w:t>Pro Rata Distributions</w:t>
      </w:r>
      <w:r>
        <w:rPr>
          <w:rFonts w:ascii="Times New Roman" w:cs="Times New Roman" w:eastAsia="Times New Roman" w:hAnsi="Times New Roman"/>
          <w:sz w:val="18"/>
          <w:szCs w:val="18"/>
          <w:color w:val="auto"/>
        </w:rPr>
        <w:t>. If the Company, at any time while this Warrant is outstanding, distributes to all holders of Common Stock (i)</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evidences of its indebtedness, (ii) any security (other than a distribution of Common Stock covered by the preceding paragraph), (iii) rights or warrants to subscribe for or purchase any security or (iv) cash or any other asset (in each case,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color w:val="auto"/>
        </w:rPr>
        <w:t>Distributed Property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then, upon any exercise of Warrants, which shall be made subject to the Holder providing the Company with prior written notice of such Holder’s intent to exercise within five (5) business days after the public announcement of the distribution of Distributed Property, that occurs after the record date fixed for determination of shareholders entitled to receive such distribution, the Holder shall be entitled to receive, in addition to the Warrant Shares otherwise issuable upon such exercise (if applicable), the Distributed Property that such Holder would have been entitled to receive in respect of such number of Warrant Shares had the Holder been the record holder of such Warrant Shares immediately prior to such record date without regard to any limitation on exercise contained therein, in all cases subject to the Nasdaq Listing Rules.</w:t>
      </w:r>
    </w:p>
    <w:p>
      <w:pPr>
        <w:spacing w:after="0" w:line="188" w:lineRule="exact"/>
        <w:rPr>
          <w:sz w:val="20"/>
          <w:szCs w:val="20"/>
          <w:color w:val="auto"/>
        </w:rPr>
      </w:pPr>
    </w:p>
    <w:p>
      <w:pPr>
        <w:ind w:left="660" w:hanging="652"/>
        <w:spacing w:after="0"/>
        <w:tabs>
          <w:tab w:leader="none" w:pos="6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Warrants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w:t>
      </w:r>
      <w:r>
        <w:rPr>
          <w:rFonts w:ascii="Times New Roman" w:cs="Times New Roman" w:eastAsia="Times New Roman" w:hAnsi="Times New Roman"/>
          <w:sz w:val="17"/>
          <w:szCs w:val="17"/>
          <w:u w:val="single" w:color="auto"/>
          <w:color w:val="auto"/>
        </w:rPr>
        <w:t>Transfer of Warrants</w:t>
      </w:r>
      <w:r>
        <w:rPr>
          <w:rFonts w:ascii="Times New Roman" w:cs="Times New Roman" w:eastAsia="Times New Roman" w:hAnsi="Times New Roman"/>
          <w:sz w:val="17"/>
          <w:szCs w:val="17"/>
          <w:color w:val="auto"/>
        </w:rPr>
        <w:t>. The Warrants may be transferred or exchanged separately from shares of Common Stock.</w:t>
      </w:r>
    </w:p>
    <w:p>
      <w:pPr>
        <w:spacing w:after="0" w:line="224" w:lineRule="exact"/>
        <w:rPr>
          <w:rFonts w:ascii="Times New Roman" w:cs="Times New Roman" w:eastAsia="Times New Roman" w:hAnsi="Times New Roman"/>
          <w:sz w:val="18"/>
          <w:szCs w:val="18"/>
          <w:color w:val="auto"/>
        </w:rPr>
      </w:pPr>
    </w:p>
    <w:p>
      <w:pPr>
        <w:ind w:left="1300" w:right="80" w:hanging="646"/>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w:t>
      </w:r>
      <w:r>
        <w:rPr>
          <w:rFonts w:ascii="Times New Roman" w:cs="Times New Roman" w:eastAsia="Times New Roman" w:hAnsi="Times New Roman"/>
          <w:sz w:val="18"/>
          <w:szCs w:val="18"/>
          <w:u w:val="single" w:color="auto"/>
          <w:color w:val="auto"/>
        </w:rPr>
        <w:t>Registration of Transfer</w:t>
      </w:r>
      <w:r>
        <w:rPr>
          <w:rFonts w:ascii="Times New Roman" w:cs="Times New Roman" w:eastAsia="Times New Roman" w:hAnsi="Times New Roman"/>
          <w:sz w:val="18"/>
          <w:szCs w:val="18"/>
          <w:color w:val="auto"/>
        </w:rPr>
        <w:t>. The Warrant Agent shall register the transfer, from time to time, of any outstanding Warrant into the Warrant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Register, upon surrender of such Warrant for transfer with a completed and duly signed assignment form, properly endorsed with signatures properly guaranteed and accompanied by appropriate instructions for transfer, or properly noticed by the Depositary as contemplated by Section 5‎.3. Upon any such transfer, a new Warrant, representing an equal aggregate number of Warrants shall be issued and the old Warrant shall be cancelled by the Warrant Agent. The Warrants so cancelled shall be delivered by the Warrant Agent to the Company from time to time upon the Company’s request. A party requesting transfer of Warrants must provide any evidence of authority that may be required by the Warrant Agent, including but not limited to, a signature guarantee from an eligible guarantor institution participating in a signature guarantee program approved by the Securities Transfer Association.</w:t>
      </w:r>
    </w:p>
    <w:p>
      <w:pPr>
        <w:spacing w:after="0" w:line="186" w:lineRule="exact"/>
        <w:rPr>
          <w:rFonts w:ascii="Times New Roman" w:cs="Times New Roman" w:eastAsia="Times New Roman" w:hAnsi="Times New Roman"/>
          <w:sz w:val="18"/>
          <w:szCs w:val="18"/>
          <w:color w:val="auto"/>
        </w:rPr>
      </w:pPr>
    </w:p>
    <w:p>
      <w:pPr>
        <w:ind w:left="1300" w:hanging="646"/>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w:t>
      </w:r>
      <w:r>
        <w:rPr>
          <w:rFonts w:ascii="Times New Roman" w:cs="Times New Roman" w:eastAsia="Times New Roman" w:hAnsi="Times New Roman"/>
          <w:sz w:val="18"/>
          <w:szCs w:val="18"/>
          <w:u w:val="single" w:color="auto"/>
          <w:color w:val="auto"/>
        </w:rPr>
        <w:t>Procedure for Surrender of Warrants</w:t>
      </w:r>
      <w:r>
        <w:rPr>
          <w:rFonts w:ascii="Times New Roman" w:cs="Times New Roman" w:eastAsia="Times New Roman" w:hAnsi="Times New Roman"/>
          <w:sz w:val="18"/>
          <w:szCs w:val="18"/>
          <w:color w:val="auto"/>
        </w:rPr>
        <w:t>. Warrants may be surrendered to the Warrant Agent, together with a written request for exchange or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transfer reasonably acceptable to Warrant Agent, duly executed by the registered holder thereof, or by a duly authorized attorney, and, thereupon, the Warrant Agent shall issue in exchange therefor one or more new Warrants as requested by the Registered Holder of the Warrants so surrendered, representing an equal aggregate number of Warrants; provided, however, that, except as otherwise provided herein or in any Book-Entry Warrant Certificate, each Book-Entry Warrant Certificate may be transferred only in whole and only to the Depository, to another nominee of the Depository, to a successor depository, or to a nominee of a successor depository; provided further, that in the event a Warrant surrendered for transfer bears a restrictive legend, the Warrant Agent shall not cancel such Warrant and shall issue new Warrants in exchange therefor until the Warrant Agent has received an opinion of counsel for the Company stating that such transfer may be made and indicating whether the new Warrants must also bear a restrictive legend. Notwithstanding anything else in this Section 5‎.3, in case of a Book-Entry Warrant, the holder or Participant shall notify the Depositary in accordance with the Depository’s procedures of a requested transfer and the Depositary shall provide notice to an account of the Warrant Agent at the Depository designated for such purpose in writing by the Warrant Agent to the Depository from time to time, of a transfer to be recorded in the records maintained by the Depository, its nominee for each Book-Entry Warrant Certificate, or a Participant, as appropriate, evidencing the balance, if any, of the Warrants remaining after such transfer and the new name in which the transferred Book Entry Warrants are to be held.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1610995</wp:posOffset>
            </wp:positionH>
            <wp:positionV relativeFrom="paragraph">
              <wp:posOffset>-2767965</wp:posOffset>
            </wp:positionV>
            <wp:extent cx="5130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3">
                      <a:extLst>
                        <a:ext uri="{28A0092B-C50C-407E-A947-70E740481C1C}"/>
                      </a:extLst>
                    </a:blip>
                    <a:srcRect/>
                    <a:stretch>
                      <a:fillRect/>
                    </a:stretch>
                  </pic:blipFill>
                  <pic:spPr bwMode="auto">
                    <a:xfrm>
                      <a:off x="0" y="0"/>
                      <a:ext cx="513080" cy="8255"/>
                    </a:xfrm>
                    <a:prstGeom prst="rect">
                      <a:avLst/>
                    </a:prstGeom>
                    <a:noFill/>
                  </pic:spPr>
                </pic:pic>
              </a:graphicData>
            </a:graphic>
          </wp:anchor>
        </w:drawing>
        <w:drawing>
          <wp:anchor simplePos="0" relativeHeight="251657728" behindDoc="1" locked="0" layoutInCell="0" allowOverlap="1">
            <wp:simplePos x="0" y="0"/>
            <wp:positionH relativeFrom="column">
              <wp:posOffset>826135</wp:posOffset>
            </wp:positionH>
            <wp:positionV relativeFrom="paragraph">
              <wp:posOffset>-715010</wp:posOffset>
            </wp:positionV>
            <wp:extent cx="5130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4">
                      <a:extLst>
                        <a:ext uri="{28A0092B-C50C-407E-A947-70E740481C1C}"/>
                      </a:extLst>
                    </a:blip>
                    <a:srcRect/>
                    <a:stretch>
                      <a:fillRect/>
                    </a:stretch>
                  </pic:blipFill>
                  <pic:spPr bwMode="auto">
                    <a:xfrm>
                      <a:off x="0" y="0"/>
                      <a:ext cx="513080" cy="8255"/>
                    </a:xfrm>
                    <a:prstGeom prst="rect">
                      <a:avLst/>
                    </a:prstGeom>
                    <a:noFill/>
                  </pic:spPr>
                </pic:pic>
              </a:graphicData>
            </a:graphic>
          </wp:anchor>
        </w:drawing>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140" w:name="page141"/>
    <w:bookmarkEnd w:id="140"/>
    <w:p>
      <w:pPr>
        <w:ind w:left="1292" w:right="300" w:hanging="645"/>
        <w:spacing w:after="0" w:line="281" w:lineRule="auto"/>
        <w:tabs>
          <w:tab w:leader="none" w:pos="1272"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u w:val="single" w:color="auto"/>
          <w:color w:val="auto"/>
        </w:rPr>
        <w:t>Fractional Warrants</w:t>
      </w:r>
      <w:r>
        <w:rPr>
          <w:rFonts w:ascii="Times New Roman" w:cs="Times New Roman" w:eastAsia="Times New Roman" w:hAnsi="Times New Roman"/>
          <w:sz w:val="18"/>
          <w:szCs w:val="18"/>
          <w:color w:val="auto"/>
        </w:rPr>
        <w:t>. The Warrant Agent shall not be required to effect any registration of transfer or exchange which will result in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issuance of a Warrant Certificate or a Book-Entry Warrant Certificate for a fraction of a Warrant.</w:t>
      </w:r>
    </w:p>
    <w:p>
      <w:pPr>
        <w:spacing w:after="0" w:line="162" w:lineRule="exact"/>
        <w:rPr>
          <w:sz w:val="20"/>
          <w:szCs w:val="20"/>
          <w:color w:val="auto"/>
        </w:rPr>
      </w:pPr>
    </w:p>
    <w:p>
      <w:pPr>
        <w:ind w:left="1292" w:right="60" w:hanging="645"/>
        <w:spacing w:after="0" w:line="260" w:lineRule="auto"/>
        <w:tabs>
          <w:tab w:leader="none" w:pos="1272"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u w:val="single" w:color="auto"/>
          <w:color w:val="auto"/>
        </w:rPr>
        <w:t>Warrant Execution and Countersignature</w:t>
      </w:r>
      <w:r>
        <w:rPr>
          <w:rFonts w:ascii="Times New Roman" w:cs="Times New Roman" w:eastAsia="Times New Roman" w:hAnsi="Times New Roman"/>
          <w:sz w:val="18"/>
          <w:szCs w:val="18"/>
          <w:color w:val="auto"/>
        </w:rPr>
        <w:t>. The Warrant Agent is hereby authorized to countersign and to deliver, in accordance with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terms of this Warrant Agreement, the Warrants required to be issued pursuant to the provisions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and the Company, whenever required by the Warrant Agent, will supply the Warrant Agent with Warrants duly executed on behalf of the Company for such purpose.</w:t>
      </w:r>
    </w:p>
    <w:p>
      <w:pPr>
        <w:spacing w:after="0" w:line="181" w:lineRule="exact"/>
        <w:rPr>
          <w:sz w:val="20"/>
          <w:szCs w:val="20"/>
          <w:color w:val="auto"/>
        </w:rPr>
      </w:pPr>
    </w:p>
    <w:p>
      <w:pPr>
        <w:ind w:left="652" w:hanging="652"/>
        <w:spacing w:after="0"/>
        <w:tabs>
          <w:tab w:leader="none" w:pos="65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Provisions Relating to Rights of Registered Holders of Warrants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1292" w:right="60" w:hanging="646"/>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w:t>
      </w:r>
      <w:r>
        <w:rPr>
          <w:rFonts w:ascii="Times New Roman" w:cs="Times New Roman" w:eastAsia="Times New Roman" w:hAnsi="Times New Roman"/>
          <w:sz w:val="18"/>
          <w:szCs w:val="18"/>
          <w:u w:val="single" w:color="auto"/>
          <w:color w:val="auto"/>
        </w:rPr>
        <w:t>No Rights as Stockholder</w:t>
      </w:r>
      <w:r>
        <w:rPr>
          <w:rFonts w:ascii="Times New Roman" w:cs="Times New Roman" w:eastAsia="Times New Roman" w:hAnsi="Times New Roman"/>
          <w:sz w:val="18"/>
          <w:szCs w:val="18"/>
          <w:color w:val="auto"/>
        </w:rPr>
        <w:t>. A Warrant does not entitle the Registered Holder thereof to any of the rights of a stockholder of the Company,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including, without limitation, the right to receive dividends, or other distributions, exercise any preemptive rights to vote or to consent or to receive notice as stockholders in respect of the meetings of stockholders or the election of directors of the Company or any other matter.</w:t>
      </w:r>
    </w:p>
    <w:p>
      <w:pPr>
        <w:spacing w:after="0" w:line="180" w:lineRule="exact"/>
        <w:rPr>
          <w:rFonts w:ascii="Times New Roman" w:cs="Times New Roman" w:eastAsia="Times New Roman" w:hAnsi="Times New Roman"/>
          <w:sz w:val="18"/>
          <w:szCs w:val="18"/>
          <w:color w:val="auto"/>
        </w:rPr>
      </w:pPr>
    </w:p>
    <w:p>
      <w:pPr>
        <w:ind w:left="1292" w:right="80" w:hanging="646"/>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w:t>
      </w:r>
      <w:r>
        <w:rPr>
          <w:rFonts w:ascii="Times New Roman" w:cs="Times New Roman" w:eastAsia="Times New Roman" w:hAnsi="Times New Roman"/>
          <w:sz w:val="18"/>
          <w:szCs w:val="18"/>
          <w:u w:val="single" w:color="auto"/>
          <w:color w:val="auto"/>
        </w:rPr>
        <w:t>Lost, Stolen Mutilated or Destroyed Warrants</w:t>
      </w:r>
      <w:r>
        <w:rPr>
          <w:rFonts w:ascii="Times New Roman" w:cs="Times New Roman" w:eastAsia="Times New Roman" w:hAnsi="Times New Roman"/>
          <w:sz w:val="18"/>
          <w:szCs w:val="18"/>
          <w:color w:val="auto"/>
        </w:rPr>
        <w:t>. If any Warrant is lost, stolen, mutilated or destroyed, the Company and the Warrant Agent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may, absent notice to Warrant Agent that such certificates have been acquired by a bona fide purchaser, on such terms as to indemnity or otherwise as they may in their discretion impose (which terms shall in all cases include posting of a lost security bond by or on behalf of the Registered Holder, and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spacing w:after="0" w:line="184"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w:t>
      </w:r>
      <w:r>
        <w:rPr>
          <w:rFonts w:ascii="Times New Roman" w:cs="Times New Roman" w:eastAsia="Times New Roman" w:hAnsi="Times New Roman"/>
          <w:sz w:val="17"/>
          <w:szCs w:val="17"/>
          <w:u w:val="single" w:color="auto"/>
          <w:color w:val="auto"/>
        </w:rPr>
        <w:t>Reservation of Common Stock</w:t>
      </w:r>
      <w:r>
        <w:rPr>
          <w:rFonts w:ascii="Times New Roman" w:cs="Times New Roman" w:eastAsia="Times New Roman" w:hAnsi="Times New Roman"/>
          <w:sz w:val="17"/>
          <w:szCs w:val="17"/>
          <w:color w:val="auto"/>
        </w:rPr>
        <w:t>. The Company shall at all times reserve and keep available a number of its authorized but unissued shares</w:t>
      </w:r>
    </w:p>
    <w:p>
      <w:pPr>
        <w:spacing w:after="0" w:line="26" w:lineRule="exact"/>
        <w:rPr>
          <w:rFonts w:ascii="Times New Roman" w:cs="Times New Roman" w:eastAsia="Times New Roman" w:hAnsi="Times New Roman"/>
          <w:sz w:val="18"/>
          <w:szCs w:val="18"/>
          <w:color w:val="auto"/>
        </w:rPr>
      </w:pPr>
    </w:p>
    <w:p>
      <w:pPr>
        <w:ind w:left="1292" w:right="68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Common Stock that will be sufficient to permit the exercise in full of all outstanding Warrants issued pursuant to this Warrant Agreement.</w:t>
      </w:r>
    </w:p>
    <w:p>
      <w:pPr>
        <w:spacing w:after="0" w:line="181" w:lineRule="exact"/>
        <w:rPr>
          <w:rFonts w:ascii="Times New Roman" w:cs="Times New Roman" w:eastAsia="Times New Roman" w:hAnsi="Times New Roman"/>
          <w:sz w:val="18"/>
          <w:szCs w:val="18"/>
          <w:color w:val="auto"/>
        </w:rPr>
      </w:pPr>
    </w:p>
    <w:p>
      <w:pPr>
        <w:ind w:left="1292" w:hanging="646"/>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w:t>
      </w:r>
      <w:r>
        <w:rPr>
          <w:rFonts w:ascii="Times New Roman" w:cs="Times New Roman" w:eastAsia="Times New Roman" w:hAnsi="Times New Roman"/>
          <w:sz w:val="18"/>
          <w:szCs w:val="18"/>
          <w:u w:val="single" w:color="auto"/>
          <w:color w:val="auto"/>
        </w:rPr>
        <w:t>Registration of Common Stock</w:t>
      </w:r>
      <w:r>
        <w:rPr>
          <w:rFonts w:ascii="Times New Roman" w:cs="Times New Roman" w:eastAsia="Times New Roman" w:hAnsi="Times New Roman"/>
          <w:sz w:val="18"/>
          <w:szCs w:val="18"/>
          <w:color w:val="auto"/>
        </w:rPr>
        <w:t>. The Company agrees to use its commercially reasonable efforts to obtain and maintain the effectiveness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of the Registration Statement until the expiration of the Warrants in accordance with the provisions of this Warrant Agreement; provided, however, that the Company shall not have penalties for failure to deliver Common Stock if a registration statement is not effective or a current prospectus is not on file with the SEC at the time of exercise by the Registered Holder. In no event will the Registered Holder of a Warrant be entitled to receive a net-cash settlement or shares of Common Stock or other consideration as of result of the Company’s non-compliance with this Section 6‎.4.</w:t>
      </w:r>
    </w:p>
    <w:p>
      <w:pPr>
        <w:spacing w:after="0" w:line="183"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Concerning the Warrant Agent and Other Matters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1292" w:right="20" w:hanging="646"/>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7.1</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The Company will, from time to time, promptly pay all taxes and charges that may be imposed upon the Company or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Warrant Agent in respect of the issuance or delivery of shares of Common Stock upon the exercise of Warrants, but neither the Company nor the Warrant Agent shall be obligated to pay any transfer taxes in respect of the Warrants or such shares. The Warrant Agent shall not register any transfer or issue or deliver any Warrant Certificate(s) or Warrant Shares unless or until the persons requesting the registration or issuance shall have paid to the Warrant Agent for the account of the Company the amount of such tax, if any, or shall have established to the reasonable satisfaction of the Company and the Warrant Agent that such tax, if any, has been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1798955</wp:posOffset>
            </wp:positionH>
            <wp:positionV relativeFrom="paragraph">
              <wp:posOffset>-1264920</wp:posOffset>
            </wp:positionV>
            <wp:extent cx="5410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6">
                      <a:extLst>
                        <a:ext uri="{28A0092B-C50C-407E-A947-70E740481C1C}"/>
                      </a:extLst>
                    </a:blip>
                    <a:srcRect/>
                    <a:stretch>
                      <a:fillRect/>
                    </a:stretch>
                  </pic:blipFill>
                  <pic:spPr bwMode="auto">
                    <a:xfrm>
                      <a:off x="0" y="0"/>
                      <a:ext cx="541020" cy="8255"/>
                    </a:xfrm>
                    <a:prstGeom prst="rect">
                      <a:avLst/>
                    </a:prstGeom>
                    <a:noFill/>
                  </pic:spPr>
                </pic:pic>
              </a:graphicData>
            </a:graphic>
          </wp:anchor>
        </w:drawing>
      </w:r>
    </w:p>
    <w:p>
      <w:pPr>
        <w:spacing w:after="0" w:line="379"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95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192"/>
          </w:cols>
          <w:pgMar w:left="328" w:top="902" w:right="379" w:bottom="1440" w:gutter="0" w:footer="0" w:header="0"/>
        </w:sectPr>
      </w:pPr>
    </w:p>
    <w:bookmarkStart w:id="141" w:name="page142"/>
    <w:bookmarkEnd w:id="141"/>
    <w:p>
      <w:pPr>
        <w:spacing w:after="0"/>
        <w:tabs>
          <w:tab w:leader="none" w:pos="62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7"/>
          <w:szCs w:val="17"/>
          <w:u w:val="single" w:color="auto"/>
          <w:color w:val="auto"/>
        </w:rPr>
        <w:t>Resignation, Termination, Consolidation, or Merger of Warrant Agent</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left="1280" w:hanging="646"/>
        <w:spacing w:after="0" w:line="251" w:lineRule="auto"/>
        <w:tabs>
          <w:tab w:leader="none" w:pos="1260" w:val="left"/>
        </w:tabs>
        <w:rPr>
          <w:sz w:val="20"/>
          <w:szCs w:val="20"/>
          <w:color w:val="auto"/>
        </w:rPr>
      </w:pPr>
      <w:r>
        <w:rPr>
          <w:rFonts w:ascii="Times New Roman" w:cs="Times New Roman" w:eastAsia="Times New Roman" w:hAnsi="Times New Roman"/>
          <w:sz w:val="18"/>
          <w:szCs w:val="18"/>
          <w:color w:val="auto"/>
        </w:rPr>
        <w:t>7.2.1</w:t>
      </w:r>
      <w:r>
        <w:rPr>
          <w:sz w:val="20"/>
          <w:szCs w:val="20"/>
          <w:color w:val="auto"/>
        </w:rPr>
        <w:tab/>
      </w:r>
      <w:r>
        <w:rPr>
          <w:rFonts w:ascii="Times New Roman" w:cs="Times New Roman" w:eastAsia="Times New Roman" w:hAnsi="Times New Roman"/>
          <w:sz w:val="18"/>
          <w:szCs w:val="18"/>
          <w:u w:val="single" w:color="auto"/>
          <w:color w:val="auto"/>
        </w:rPr>
        <w:t>Appointment of Successor Warrant Agent</w:t>
      </w:r>
      <w:r>
        <w:rPr>
          <w:rFonts w:ascii="Times New Roman" w:cs="Times New Roman" w:eastAsia="Times New Roman" w:hAnsi="Times New Roman"/>
          <w:sz w:val="18"/>
          <w:szCs w:val="18"/>
          <w:color w:val="auto"/>
        </w:rPr>
        <w:t>. The Warrant Agent, or any successor to it hereafter appointed, may resign its duties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and be discharged from all further duties and liabilities hereunder after giving thirty (30) days’ notice in writing to the Company. The Company may terminate this Agreement after giving thirty (30) days’ notice in writing to the Warrant Agent. If the office of the Warrant Agent becomes vacant by resignation or incapacity to act or otherwise, the Company shall appoint, in writing, a successor Warrant Agent in place of the Warrant Agent. If the Company shall fail to make such appointment within a period of thirty (30) days after it has been notified in writing of such resignation or incapacity by the Warrant Agent or by the Registered Holder of the Warrant (who shall, with such notice, submit his, her or its Warrant for inspection by the Company), then the Registered Holder of any Warrant may apply to the Supreme Court of the State of New York for the County of New York for the appointment of a successor Warrant Agent. Any successor Warrant Agent, whether appointed by the Company or by such court, shall be an entity authorized under applicable laws to exercise the powers of a transfer agent and subject to supervision or examination by federal or state authorities.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198" w:lineRule="exact"/>
        <w:rPr>
          <w:sz w:val="20"/>
          <w:szCs w:val="20"/>
          <w:color w:val="auto"/>
        </w:rPr>
      </w:pPr>
    </w:p>
    <w:p>
      <w:pPr>
        <w:jc w:val="both"/>
        <w:ind w:left="1280" w:right="120" w:hanging="646"/>
        <w:spacing w:after="0" w:line="265" w:lineRule="auto"/>
        <w:tabs>
          <w:tab w:leader="none" w:pos="1260" w:val="left"/>
        </w:tabs>
        <w:rPr>
          <w:sz w:val="20"/>
          <w:szCs w:val="20"/>
          <w:color w:val="auto"/>
        </w:rPr>
      </w:pPr>
      <w:r>
        <w:rPr>
          <w:rFonts w:ascii="Times New Roman" w:cs="Times New Roman" w:eastAsia="Times New Roman" w:hAnsi="Times New Roman"/>
          <w:sz w:val="18"/>
          <w:szCs w:val="18"/>
          <w:color w:val="auto"/>
        </w:rPr>
        <w:t>7.2.2</w:t>
      </w:r>
      <w:r>
        <w:rPr>
          <w:sz w:val="20"/>
          <w:szCs w:val="20"/>
          <w:color w:val="auto"/>
        </w:rPr>
        <w:tab/>
      </w:r>
      <w:r>
        <w:rPr>
          <w:rFonts w:ascii="Times New Roman" w:cs="Times New Roman" w:eastAsia="Times New Roman" w:hAnsi="Times New Roman"/>
          <w:sz w:val="18"/>
          <w:szCs w:val="18"/>
          <w:u w:val="single" w:color="auto"/>
          <w:color w:val="auto"/>
        </w:rPr>
        <w:t>Notice of Successor Warrant Agent</w:t>
      </w:r>
      <w:r>
        <w:rPr>
          <w:rFonts w:ascii="Times New Roman" w:cs="Times New Roman" w:eastAsia="Times New Roman" w:hAnsi="Times New Roman"/>
          <w:sz w:val="18"/>
          <w:szCs w:val="18"/>
          <w:color w:val="auto"/>
        </w:rPr>
        <w:t>. In the event a successor Warrant Agent shall be appointed, the Company shall give notice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thereof to the predecessor Warrant Agent and the transfer agent for the Common Stock not later than thirty (30) days before the effective date of any such appointment.</w:t>
      </w:r>
    </w:p>
    <w:p>
      <w:pPr>
        <w:spacing w:after="0" w:line="176" w:lineRule="exact"/>
        <w:rPr>
          <w:sz w:val="20"/>
          <w:szCs w:val="20"/>
          <w:color w:val="auto"/>
        </w:rPr>
      </w:pPr>
    </w:p>
    <w:p>
      <w:pPr>
        <w:ind w:left="1280" w:right="160" w:hanging="646"/>
        <w:spacing w:after="0" w:line="260" w:lineRule="auto"/>
        <w:tabs>
          <w:tab w:leader="none" w:pos="1260" w:val="left"/>
        </w:tabs>
        <w:rPr>
          <w:sz w:val="20"/>
          <w:szCs w:val="20"/>
          <w:color w:val="auto"/>
        </w:rPr>
      </w:pPr>
      <w:r>
        <w:rPr>
          <w:rFonts w:ascii="Times New Roman" w:cs="Times New Roman" w:eastAsia="Times New Roman" w:hAnsi="Times New Roman"/>
          <w:sz w:val="18"/>
          <w:szCs w:val="18"/>
          <w:color w:val="auto"/>
        </w:rPr>
        <w:t>7.2.3</w:t>
      </w:r>
      <w:r>
        <w:rPr>
          <w:sz w:val="20"/>
          <w:szCs w:val="20"/>
          <w:color w:val="auto"/>
        </w:rPr>
        <w:tab/>
      </w:r>
      <w:r>
        <w:rPr>
          <w:rFonts w:ascii="Times New Roman" w:cs="Times New Roman" w:eastAsia="Times New Roman" w:hAnsi="Times New Roman"/>
          <w:sz w:val="18"/>
          <w:szCs w:val="18"/>
          <w:u w:val="single" w:color="auto"/>
          <w:color w:val="auto"/>
        </w:rPr>
        <w:t>Merger or Consolidation of Warrant Agent</w:t>
      </w:r>
      <w:r>
        <w:rPr>
          <w:rFonts w:ascii="Times New Roman" w:cs="Times New Roman" w:eastAsia="Times New Roman" w:hAnsi="Times New Roman"/>
          <w:sz w:val="18"/>
          <w:szCs w:val="18"/>
          <w:color w:val="auto"/>
        </w:rPr>
        <w:t>. Any person into which the Warrant Agent may be merged or with which it may be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consolidated or any person resulting from any merger or consolidation to which the Warrant Agent shall be a party shall be the successor Warrant Agent under this Warrant Agreement without any further act on the part of the Company or the Warrant Agent.</w:t>
      </w:r>
    </w:p>
    <w:p>
      <w:pPr>
        <w:spacing w:after="0" w:line="181" w:lineRule="exact"/>
        <w:rPr>
          <w:sz w:val="20"/>
          <w:szCs w:val="20"/>
          <w:color w:val="auto"/>
        </w:rPr>
      </w:pPr>
    </w:p>
    <w:p>
      <w:pPr>
        <w:ind w:left="1280" w:right="80" w:hanging="646"/>
        <w:spacing w:after="0" w:line="257" w:lineRule="auto"/>
        <w:tabs>
          <w:tab w:leader="none" w:pos="1260" w:val="left"/>
        </w:tabs>
        <w:rPr>
          <w:sz w:val="20"/>
          <w:szCs w:val="20"/>
          <w:color w:val="auto"/>
        </w:rPr>
      </w:pPr>
      <w:r>
        <w:rPr>
          <w:rFonts w:ascii="Times New Roman" w:cs="Times New Roman" w:eastAsia="Times New Roman" w:hAnsi="Times New Roman"/>
          <w:sz w:val="18"/>
          <w:szCs w:val="18"/>
          <w:color w:val="auto"/>
        </w:rPr>
        <w:t>7.2.4</w:t>
      </w:r>
      <w:r>
        <w:rPr>
          <w:sz w:val="20"/>
          <w:szCs w:val="20"/>
          <w:color w:val="auto"/>
        </w:rPr>
        <w:tab/>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The Warrant Agent and the Company agree that all books, records, information and data pertaining to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business of the other party, including inter alia, personal, non-public Holder information, which are exchanged or received pursuant to the negotiation or the carrying out of this Warrant Agreement shall remain confidential, and shall not be voluntarily disclosed to any other person, except as may be required by law, including, without limitation, pursuant to subpoenas from state or federal government authorities.</w:t>
      </w:r>
    </w:p>
    <w:p>
      <w:pPr>
        <w:spacing w:after="0" w:line="40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95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540"/>
          </w:cols>
          <w:pgMar w:left="980" w:top="902" w:right="379" w:bottom="1440" w:gutter="0" w:footer="0" w:header="0"/>
        </w:sectPr>
      </w:pPr>
    </w:p>
    <w:bookmarkStart w:id="142" w:name="page143"/>
    <w:bookmarkEnd w:id="142"/>
    <w:p>
      <w:pPr>
        <w:spacing w:after="0"/>
        <w:tabs>
          <w:tab w:leader="none" w:pos="62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7"/>
          <w:szCs w:val="17"/>
          <w:u w:val="single" w:color="auto"/>
          <w:color w:val="auto"/>
        </w:rPr>
        <w:t>Fees and Expenses of Warrant Agent</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jc w:val="both"/>
        <w:ind w:left="1280" w:right="580" w:hanging="646"/>
        <w:spacing w:after="0" w:line="288" w:lineRule="auto"/>
        <w:tabs>
          <w:tab w:leader="none" w:pos="1260" w:val="left"/>
        </w:tabs>
        <w:rPr>
          <w:sz w:val="20"/>
          <w:szCs w:val="20"/>
          <w:color w:val="auto"/>
        </w:rPr>
      </w:pPr>
      <w:r>
        <w:rPr>
          <w:rFonts w:ascii="Times New Roman" w:cs="Times New Roman" w:eastAsia="Times New Roman" w:hAnsi="Times New Roman"/>
          <w:sz w:val="18"/>
          <w:szCs w:val="18"/>
          <w:color w:val="auto"/>
        </w:rPr>
        <w:t>7.3.1</w:t>
      </w:r>
      <w:r>
        <w:rPr>
          <w:sz w:val="20"/>
          <w:szCs w:val="20"/>
          <w:color w:val="auto"/>
        </w:rPr>
        <w:tab/>
      </w:r>
      <w:r>
        <w:rPr>
          <w:rFonts w:ascii="Times New Roman" w:cs="Times New Roman" w:eastAsia="Times New Roman" w:hAnsi="Times New Roman"/>
          <w:sz w:val="17"/>
          <w:szCs w:val="17"/>
          <w:u w:val="single" w:color="auto"/>
          <w:color w:val="auto"/>
        </w:rPr>
        <w:t>Remuneration</w:t>
      </w:r>
      <w:r>
        <w:rPr>
          <w:rFonts w:ascii="Times New Roman" w:cs="Times New Roman" w:eastAsia="Times New Roman" w:hAnsi="Times New Roman"/>
          <w:sz w:val="17"/>
          <w:szCs w:val="17"/>
          <w:color w:val="auto"/>
        </w:rPr>
        <w:t>. The Company agrees to pay the Warrant Agent reasonable remuneration for its services as Warrant Agent</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hereunder as set forth in the fee schedule mutually agreed upon by the parties and will reimburse the Warrant Agent upon demand for all expenditures that the Warrant Agent may reasonably incur in the execution of its duties hereunder.</w:t>
      </w:r>
    </w:p>
    <w:p>
      <w:pPr>
        <w:spacing w:after="0" w:line="158" w:lineRule="exact"/>
        <w:rPr>
          <w:sz w:val="20"/>
          <w:szCs w:val="20"/>
          <w:color w:val="auto"/>
        </w:rPr>
      </w:pPr>
    </w:p>
    <w:p>
      <w:pPr>
        <w:jc w:val="both"/>
        <w:ind w:left="1280" w:right="260" w:hanging="646"/>
        <w:spacing w:after="0" w:line="265" w:lineRule="auto"/>
        <w:tabs>
          <w:tab w:leader="none" w:pos="1260" w:val="left"/>
        </w:tabs>
        <w:rPr>
          <w:sz w:val="20"/>
          <w:szCs w:val="20"/>
          <w:color w:val="auto"/>
        </w:rPr>
      </w:pPr>
      <w:r>
        <w:rPr>
          <w:rFonts w:ascii="Times New Roman" w:cs="Times New Roman" w:eastAsia="Times New Roman" w:hAnsi="Times New Roman"/>
          <w:sz w:val="18"/>
          <w:szCs w:val="18"/>
          <w:color w:val="auto"/>
        </w:rPr>
        <w:t>7.3.2</w:t>
      </w:r>
      <w:r>
        <w:rPr>
          <w:sz w:val="20"/>
          <w:szCs w:val="20"/>
          <w:color w:val="auto"/>
        </w:rPr>
        <w:tab/>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Company agrees to perform, execute, acknowledge and deliver, or cause to be performed, executed,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acknowledged and delivered, all such further and other acts, instruments and assurances as may reasonably be required by the Warrant Agent for the carrying out or performing of the provisions of this Warrant Agreement.</w:t>
      </w:r>
    </w:p>
    <w:p>
      <w:pPr>
        <w:spacing w:after="0" w:line="1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7"/>
          <w:szCs w:val="17"/>
          <w:u w:val="single" w:color="auto"/>
          <w:color w:val="auto"/>
        </w:rPr>
        <w:t>Liability of Warrant Agent</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left="1280" w:right="60" w:hanging="646"/>
        <w:spacing w:after="0" w:line="254" w:lineRule="auto"/>
        <w:tabs>
          <w:tab w:leader="none" w:pos="1260" w:val="left"/>
        </w:tabs>
        <w:rPr>
          <w:sz w:val="20"/>
          <w:szCs w:val="20"/>
          <w:color w:val="auto"/>
        </w:rPr>
      </w:pPr>
      <w:r>
        <w:rPr>
          <w:rFonts w:ascii="Times New Roman" w:cs="Times New Roman" w:eastAsia="Times New Roman" w:hAnsi="Times New Roman"/>
          <w:sz w:val="18"/>
          <w:szCs w:val="18"/>
          <w:color w:val="auto"/>
        </w:rPr>
        <w:t>7.4.1</w:t>
      </w:r>
      <w:r>
        <w:rPr>
          <w:sz w:val="20"/>
          <w:szCs w:val="20"/>
          <w:color w:val="auto"/>
        </w:rPr>
        <w:tab/>
      </w:r>
      <w:r>
        <w:rPr>
          <w:rFonts w:ascii="Times New Roman" w:cs="Times New Roman" w:eastAsia="Times New Roman" w:hAnsi="Times New Roman"/>
          <w:sz w:val="18"/>
          <w:szCs w:val="18"/>
          <w:u w:val="single" w:color="auto"/>
          <w:color w:val="auto"/>
        </w:rPr>
        <w:t>Reliance on Company Statement</w:t>
      </w:r>
      <w:r>
        <w:rPr>
          <w:rFonts w:ascii="Times New Roman" w:cs="Times New Roman" w:eastAsia="Times New Roman" w:hAnsi="Times New Roman"/>
          <w:sz w:val="18"/>
          <w:szCs w:val="18"/>
          <w:color w:val="auto"/>
        </w:rPr>
        <w:t>. Whenever, in the performance of its duties under this Warrant Agreement, the Warrant Agent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Chief Financial Officer, Treasurer or Chairman of the Board of the Company and delivered to the Warrant Agent. The Warrant Agent may rely upon, and be held harmless for such reliance, such statement for any action taken or suffered or omitted to be taken by it in the absence of bad faith pursuant to the provisions of this Warrant Agreement, and shall not be held liable in connection with any delay in receiving such statement.</w:t>
      </w:r>
    </w:p>
    <w:p>
      <w:pPr>
        <w:spacing w:after="0" w:line="187" w:lineRule="exact"/>
        <w:rPr>
          <w:sz w:val="20"/>
          <w:szCs w:val="20"/>
          <w:color w:val="auto"/>
        </w:rPr>
      </w:pPr>
    </w:p>
    <w:p>
      <w:pPr>
        <w:ind w:left="1280" w:hanging="646"/>
        <w:spacing w:after="0" w:line="253" w:lineRule="auto"/>
        <w:tabs>
          <w:tab w:leader="none" w:pos="1260" w:val="left"/>
        </w:tabs>
        <w:rPr>
          <w:sz w:val="20"/>
          <w:szCs w:val="20"/>
          <w:color w:val="auto"/>
        </w:rPr>
      </w:pPr>
      <w:r>
        <w:rPr>
          <w:rFonts w:ascii="Times New Roman" w:cs="Times New Roman" w:eastAsia="Times New Roman" w:hAnsi="Times New Roman"/>
          <w:sz w:val="18"/>
          <w:szCs w:val="18"/>
          <w:color w:val="auto"/>
        </w:rPr>
        <w:t>7.4.2</w:t>
      </w:r>
      <w:r>
        <w:rPr>
          <w:sz w:val="20"/>
          <w:szCs w:val="20"/>
          <w:color w:val="auto"/>
        </w:rPr>
        <w:tab/>
      </w:r>
      <w:r>
        <w:rPr>
          <w:rFonts w:ascii="Times New Roman" w:cs="Times New Roman" w:eastAsia="Times New Roman" w:hAnsi="Times New Roman"/>
          <w:sz w:val="18"/>
          <w:szCs w:val="18"/>
          <w:u w:val="single" w:color="auto"/>
          <w:color w:val="auto"/>
        </w:rPr>
        <w:t>Indemnity</w:t>
      </w:r>
      <w:r>
        <w:rPr>
          <w:rFonts w:ascii="Times New Roman" w:cs="Times New Roman" w:eastAsia="Times New Roman" w:hAnsi="Times New Roman"/>
          <w:sz w:val="18"/>
          <w:szCs w:val="18"/>
          <w:color w:val="auto"/>
        </w:rPr>
        <w:t>. The Warrant Agent shall be liable hereunder only for its own gross negligence, willful misconduct or bad faith (each</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as determined by a final, non-appealable judgment of a court of competent jurisdiction). The Company covenants and agrees to indemnify the Warrant Agent and hold it harmless against any and all liabilities, including judgments, losses, damages, costs, expenses, and reasonable counsel fees, which may be paid, incurred or suffered by or to which it may become subject, arising from or out of, directly or indirectly, any claims or liability resulting from the execution, acceptance, administration, exercise and performance of the Warrant Agent’s duties under this Agreement; provided, that such covenant and agreement does not extend to, and the Warrant Agent shall not be indemnified with respect to, such costs, expenses, losses and damages incurred or suffered by the Warrant Agent as a result of, or arising out of, its gross negligence, willful misconduct or bad faith (each as determined by a final, non-appealable judgment of a court of competent jurisdiction).</w:t>
      </w:r>
    </w:p>
    <w:p>
      <w:pPr>
        <w:spacing w:after="0" w:line="200" w:lineRule="exact"/>
        <w:rPr>
          <w:sz w:val="20"/>
          <w:szCs w:val="20"/>
          <w:color w:val="auto"/>
        </w:rPr>
      </w:pPr>
    </w:p>
    <w:p>
      <w:pPr>
        <w:spacing w:after="0" w:line="20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95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580"/>
          </w:cols>
          <w:pgMar w:left="980" w:top="902" w:right="339" w:bottom="1440" w:gutter="0" w:footer="0" w:header="0"/>
        </w:sectPr>
      </w:pPr>
    </w:p>
    <w:bookmarkStart w:id="143" w:name="page144"/>
    <w:bookmarkEnd w:id="143"/>
    <w:p>
      <w:pPr>
        <w:ind w:left="820" w:right="20" w:hanging="646"/>
        <w:spacing w:after="0" w:line="254" w:lineRule="auto"/>
        <w:tabs>
          <w:tab w:leader="none" w:pos="800" w:val="left"/>
        </w:tabs>
        <w:rPr>
          <w:sz w:val="20"/>
          <w:szCs w:val="20"/>
          <w:color w:val="auto"/>
        </w:rPr>
      </w:pPr>
      <w:r>
        <w:rPr>
          <w:rFonts w:ascii="Times New Roman" w:cs="Times New Roman" w:eastAsia="Times New Roman" w:hAnsi="Times New Roman"/>
          <w:sz w:val="18"/>
          <w:szCs w:val="18"/>
          <w:color w:val="auto"/>
        </w:rPr>
        <w:t>7.4.3</w:t>
      </w:r>
      <w:r>
        <w:rPr>
          <w:sz w:val="20"/>
          <w:szCs w:val="20"/>
          <w:color w:val="auto"/>
        </w:rPr>
        <w:tab/>
      </w:r>
      <w:r>
        <w:rPr>
          <w:rFonts w:ascii="Times New Roman" w:cs="Times New Roman" w:eastAsia="Times New Roman" w:hAnsi="Times New Roman"/>
          <w:sz w:val="18"/>
          <w:szCs w:val="18"/>
          <w:u w:val="single" w:color="auto"/>
          <w:color w:val="auto"/>
        </w:rPr>
        <w:t>Exclusions</w:t>
      </w:r>
      <w:r>
        <w:rPr>
          <w:rFonts w:ascii="Times New Roman" w:cs="Times New Roman" w:eastAsia="Times New Roman" w:hAnsi="Times New Roman"/>
          <w:sz w:val="18"/>
          <w:szCs w:val="18"/>
          <w:color w:val="auto"/>
        </w:rPr>
        <w:t>. The Warrant Agent shall have no responsibility with respect to the validity of this Warrant Agreement or with</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 xml:space="preserve">respect to the validity or execution of any Warrant (except its countersignature thereof); nor shall it be responsible for any breach by the Company of any covenant or condition contained in this Warrant Agreement or in any Warrant; nor shall it be responsible to make any adjustments required under the provisions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shares of Common Stock to be issued pursuant to this Warrant Agreement or any Warrant or as to whether any shares of Common Stock will when issued be valid and fully paid and nonassessable.</w:t>
      </w:r>
    </w:p>
    <w:p>
      <w:pPr>
        <w:spacing w:after="0" w:line="187" w:lineRule="exact"/>
        <w:rPr>
          <w:sz w:val="20"/>
          <w:szCs w:val="20"/>
          <w:color w:val="auto"/>
        </w:rPr>
      </w:pPr>
    </w:p>
    <w:p>
      <w:pPr>
        <w:ind w:left="820" w:right="20" w:hanging="646"/>
        <w:spacing w:after="0" w:line="255" w:lineRule="auto"/>
        <w:tabs>
          <w:tab w:leader="none" w:pos="800" w:val="left"/>
        </w:tabs>
        <w:rPr>
          <w:sz w:val="20"/>
          <w:szCs w:val="20"/>
          <w:color w:val="auto"/>
        </w:rPr>
      </w:pPr>
      <w:r>
        <w:rPr>
          <w:rFonts w:ascii="Times New Roman" w:cs="Times New Roman" w:eastAsia="Times New Roman" w:hAnsi="Times New Roman"/>
          <w:sz w:val="18"/>
          <w:szCs w:val="18"/>
          <w:color w:val="auto"/>
        </w:rPr>
        <w:t>7.4.4</w:t>
      </w:r>
      <w:r>
        <w:rPr>
          <w:sz w:val="20"/>
          <w:szCs w:val="20"/>
          <w:color w:val="auto"/>
        </w:rPr>
        <w:tab/>
      </w:r>
      <w:r>
        <w:rPr>
          <w:rFonts w:ascii="Times New Roman" w:cs="Times New Roman" w:eastAsia="Times New Roman" w:hAnsi="Times New Roman"/>
          <w:sz w:val="18"/>
          <w:szCs w:val="18"/>
          <w:u w:val="single" w:color="auto"/>
          <w:color w:val="auto"/>
        </w:rPr>
        <w:t>Instructions</w:t>
      </w:r>
      <w:r>
        <w:rPr>
          <w:rFonts w:ascii="Times New Roman" w:cs="Times New Roman" w:eastAsia="Times New Roman" w:hAnsi="Times New Roman"/>
          <w:sz w:val="18"/>
          <w:szCs w:val="18"/>
          <w:color w:val="auto"/>
        </w:rPr>
        <w:t>. From time to time, the Company may provide the Warrant Agent with instructions concerning the services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performed by the Warrant Agent hereunder. In addition, at any time the Warrant Agent may apply to any officer of Company for instruction, and may consult with legal counsel for the Warrant Agent or the Company with respect to any matter arising in connection with the services to be performed by the Warrant Agent under this Warrant Agreement. Warrant Agent and its agents and subcontractors shall not be liable and shall be indemnified by Company for any action taken, suffered or omitted to be taken by Warrant Agent in reliance upon any Company instructions or upon the advice or opinion of such counsel. Warrant Agent shall not be held to have notice of any change of authority of any person, until receipt of written notice thereof from Company.</w:t>
      </w:r>
    </w:p>
    <w:p>
      <w:pPr>
        <w:spacing w:after="0" w:line="184" w:lineRule="exact"/>
        <w:rPr>
          <w:sz w:val="20"/>
          <w:szCs w:val="20"/>
          <w:color w:val="auto"/>
        </w:rPr>
      </w:pPr>
    </w:p>
    <w:p>
      <w:pPr>
        <w:ind w:left="180"/>
        <w:spacing w:after="0"/>
        <w:tabs>
          <w:tab w:leader="none" w:pos="800" w:val="left"/>
        </w:tabs>
        <w:rPr>
          <w:sz w:val="20"/>
          <w:szCs w:val="20"/>
          <w:color w:val="auto"/>
        </w:rPr>
      </w:pPr>
      <w:r>
        <w:rPr>
          <w:rFonts w:ascii="Times New Roman" w:cs="Times New Roman" w:eastAsia="Times New Roman" w:hAnsi="Times New Roman"/>
          <w:sz w:val="18"/>
          <w:szCs w:val="18"/>
          <w:color w:val="auto"/>
        </w:rPr>
        <w:t>7.4.5</w:t>
      </w:r>
      <w:r>
        <w:rPr>
          <w:sz w:val="20"/>
          <w:szCs w:val="20"/>
          <w:color w:val="auto"/>
        </w:rPr>
        <w:tab/>
      </w:r>
      <w:r>
        <w:rPr>
          <w:rFonts w:ascii="Times New Roman" w:cs="Times New Roman" w:eastAsia="Times New Roman" w:hAnsi="Times New Roman"/>
          <w:sz w:val="17"/>
          <w:szCs w:val="17"/>
          <w:u w:val="single" w:color="auto"/>
          <w:color w:val="auto"/>
        </w:rPr>
        <w:t>Rights and Duties of Warrant Agent</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left="820" w:firstLine="7"/>
        <w:spacing w:after="0" w:line="265" w:lineRule="auto"/>
        <w:tabs>
          <w:tab w:leader="none" w:pos="106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Agent may consult with legal counsel (who may be legal counsel for the Company), and the advice or opinion of such counsel shall be full and complete authorization and protection to the Warrant Agent as to any action taken, suffered or omitted by it in accordance with such advice or opinion.</w:t>
      </w:r>
    </w:p>
    <w:p>
      <w:pPr>
        <w:spacing w:after="0" w:line="176" w:lineRule="exact"/>
        <w:rPr>
          <w:rFonts w:ascii="Times New Roman" w:cs="Times New Roman" w:eastAsia="Times New Roman" w:hAnsi="Times New Roman"/>
          <w:sz w:val="18"/>
          <w:szCs w:val="18"/>
          <w:color w:val="auto"/>
        </w:rPr>
      </w:pPr>
    </w:p>
    <w:p>
      <w:pPr>
        <w:ind w:left="820" w:right="280" w:firstLine="7"/>
        <w:spacing w:after="0" w:line="265" w:lineRule="auto"/>
        <w:tabs>
          <w:tab w:leader="none" w:pos="107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Agent shall not be liable for or by reason of any of the statements of fact or recitals contained in this Warrant Agreement or in the Warrant Certificates (except its countersignature thereof) or be required to verify the same, and all such statements and recitals are and shall be deemed to have been made by the Company only.</w:t>
      </w:r>
    </w:p>
    <w:p>
      <w:pPr>
        <w:spacing w:after="0" w:line="176" w:lineRule="exact"/>
        <w:rPr>
          <w:rFonts w:ascii="Times New Roman" w:cs="Times New Roman" w:eastAsia="Times New Roman" w:hAnsi="Times New Roman"/>
          <w:sz w:val="18"/>
          <w:szCs w:val="18"/>
          <w:color w:val="auto"/>
        </w:rPr>
      </w:pPr>
    </w:p>
    <w:p>
      <w:pPr>
        <w:ind w:left="820" w:right="80" w:firstLine="7"/>
        <w:spacing w:after="0" w:line="256" w:lineRule="auto"/>
        <w:tabs>
          <w:tab w:leader="none" w:pos="106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Agent shall not be required to take notice or be deemed to have notice of any event or condition hereunder, including any event or condition that may require action by the Warrant Agent, unless the Warrant Agent shall be specifically notified in writing of such event or condition by the Company, and all notices or other instruments required by this Warrant Agreement to be delivered to the Warrant Agent must, in order to be effective, be received by the Warrant Agent as specified in Section 9‎.2 hereof, and in the absence of such notice so delivered, the Warrant Agent may conclusively assume no such event or condition exists.</w:t>
      </w:r>
    </w:p>
    <w:p>
      <w:pPr>
        <w:spacing w:after="0" w:line="183" w:lineRule="exact"/>
        <w:rPr>
          <w:rFonts w:ascii="Times New Roman" w:cs="Times New Roman" w:eastAsia="Times New Roman" w:hAnsi="Times New Roman"/>
          <w:sz w:val="18"/>
          <w:szCs w:val="18"/>
          <w:color w:val="auto"/>
        </w:rPr>
      </w:pPr>
    </w:p>
    <w:p>
      <w:pPr>
        <w:ind w:left="820" w:right="120" w:firstLine="7"/>
        <w:spacing w:after="0" w:line="257" w:lineRule="auto"/>
        <w:tabs>
          <w:tab w:leader="none" w:pos="1074"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Agent and any stockholder, director, officer or employee of the Warrant Agent may buy, sell or deal in any of the Warrants or other securities of the Company or become pecuniarily interested in any transaction in which the Company may be interested, or contract with or lend money to the Company or otherwise act as fully and freely as though it were not Warrant Agent under this Warrant Agreement. Nothing herein shall preclude the Warrant Agent from acting in any other capacity for the Company or for any other legal entity.</w:t>
      </w:r>
    </w:p>
    <w:p>
      <w:pPr>
        <w:spacing w:after="0" w:line="40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95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120"/>
          </w:cols>
          <w:pgMar w:left="1440" w:top="902" w:right="339" w:bottom="1440" w:gutter="0" w:footer="0" w:header="0"/>
        </w:sectPr>
      </w:pPr>
    </w:p>
    <w:bookmarkStart w:id="144" w:name="page145"/>
    <w:bookmarkEnd w:id="144"/>
    <w:p>
      <w:pPr>
        <w:ind w:left="820" w:right="20" w:firstLine="7"/>
        <w:spacing w:after="0" w:line="257" w:lineRule="auto"/>
        <w:tabs>
          <w:tab w:leader="none" w:pos="106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Agent may execute and exercise any of the rights or powers hereby vested in it or perform any duty hereunder either itself or by or through its attorney or agents, and the Warrant Agent shall not be answerable or accountable for any act, default, neglect or misconduct of any such attorney or agents or for any loss to the Company resulting from any such act, default, neglect or misconduct, absent gross negligence, bad faith or willful misconduct (each as determined by a final, non-appealable judgment of a court of competent jurisdiction) in the selection and continued employment thereof.</w:t>
      </w:r>
    </w:p>
    <w:p>
      <w:pPr>
        <w:spacing w:after="0" w:line="184" w:lineRule="exact"/>
        <w:rPr>
          <w:rFonts w:ascii="Times New Roman" w:cs="Times New Roman" w:eastAsia="Times New Roman" w:hAnsi="Times New Roman"/>
          <w:sz w:val="18"/>
          <w:szCs w:val="18"/>
          <w:color w:val="auto"/>
        </w:rPr>
      </w:pPr>
    </w:p>
    <w:p>
      <w:pPr>
        <w:jc w:val="both"/>
        <w:ind w:left="820" w:right="60" w:firstLine="7"/>
        <w:spacing w:after="0" w:line="257" w:lineRule="auto"/>
        <w:tabs>
          <w:tab w:leader="none" w:pos="104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Agent may rely on and shall be held harmless and protected and shall incur no liability for or in respect of any action taken, suffered or omitted to be taken by it in reliance upon any certificate, statement, instrument, opinion, notice, letter, facsimile transmission or other document, or any security delivered to it, and believed by it to be genuine and to have been made or signed by the proper party or parties, or upon any written or oral instructions or statements from the Company with respect to any matter relating to its acting as Warrant Agent hereunder</w:t>
      </w:r>
    </w:p>
    <w:p>
      <w:pPr>
        <w:spacing w:after="0" w:line="184" w:lineRule="exact"/>
        <w:rPr>
          <w:rFonts w:ascii="Times New Roman" w:cs="Times New Roman" w:eastAsia="Times New Roman" w:hAnsi="Times New Roman"/>
          <w:sz w:val="18"/>
          <w:szCs w:val="18"/>
          <w:color w:val="auto"/>
        </w:rPr>
      </w:pPr>
    </w:p>
    <w:p>
      <w:pPr>
        <w:ind w:left="820" w:right="160" w:firstLine="7"/>
        <w:spacing w:after="0" w:line="265" w:lineRule="auto"/>
        <w:tabs>
          <w:tab w:leader="none" w:pos="107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Agent shall not be obligated to expend or risk its own funds or to take any action that it believes would expose or subject it to expense or liability or to a risk of incurring expense or liability, unless it has been furnished with assurances of repayment or indemnity satisfactory to it.</w:t>
      </w:r>
    </w:p>
    <w:p>
      <w:pPr>
        <w:spacing w:after="0" w:line="176" w:lineRule="exact"/>
        <w:rPr>
          <w:rFonts w:ascii="Times New Roman" w:cs="Times New Roman" w:eastAsia="Times New Roman" w:hAnsi="Times New Roman"/>
          <w:sz w:val="18"/>
          <w:szCs w:val="18"/>
          <w:color w:val="auto"/>
        </w:rPr>
      </w:pPr>
    </w:p>
    <w:p>
      <w:pPr>
        <w:jc w:val="both"/>
        <w:ind w:left="820" w:right="320" w:firstLine="7"/>
        <w:spacing w:after="0" w:line="265" w:lineRule="auto"/>
        <w:tabs>
          <w:tab w:leader="none" w:pos="107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Agent shall not be liable or responsible for any failure of the Company to comply with any of its obligations relating to any registration statement filed with the SEC or this Warrant Agreement, including without limitation obligations under applicable regulation or law.</w:t>
      </w:r>
    </w:p>
    <w:p>
      <w:pPr>
        <w:spacing w:after="0" w:line="176" w:lineRule="exact"/>
        <w:rPr>
          <w:rFonts w:ascii="Times New Roman" w:cs="Times New Roman" w:eastAsia="Times New Roman" w:hAnsi="Times New Roman"/>
          <w:sz w:val="18"/>
          <w:szCs w:val="18"/>
          <w:color w:val="auto"/>
        </w:rPr>
      </w:pPr>
    </w:p>
    <w:p>
      <w:pPr>
        <w:ind w:left="820" w:firstLine="7"/>
        <w:spacing w:after="0" w:line="265" w:lineRule="auto"/>
        <w:tabs>
          <w:tab w:leader="none" w:pos="103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Agent shall not be accountable or under any duty or responsibility for the use by the Company of any Warrants authenticated by the Warrant Agent and delivered by it to the Company pursuant to this Warrant Agreement or for the application by the Company of the proceeds of the issue and sale, or exercise, of the Warrants.</w:t>
      </w:r>
    </w:p>
    <w:p>
      <w:pPr>
        <w:spacing w:after="0" w:line="176" w:lineRule="exact"/>
        <w:rPr>
          <w:rFonts w:ascii="Times New Roman" w:cs="Times New Roman" w:eastAsia="Times New Roman" w:hAnsi="Times New Roman"/>
          <w:sz w:val="18"/>
          <w:szCs w:val="18"/>
          <w:color w:val="auto"/>
        </w:rPr>
      </w:pPr>
    </w:p>
    <w:p>
      <w:pPr>
        <w:ind w:left="820" w:right="300" w:firstLine="7"/>
        <w:spacing w:after="0" w:line="265" w:lineRule="auto"/>
        <w:tabs>
          <w:tab w:leader="none" w:pos="103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Agent shall act hereunder solely as agent for the Company, and its duties shall be determined solely by the express provisions hereof (and no duties or obligations shall be inferred or implied). The Warrant Agent shall not assume any obligations or relationship of agency or trust with any of the owners or holders of the Warrants.</w:t>
      </w:r>
    </w:p>
    <w:p>
      <w:pPr>
        <w:spacing w:after="0" w:line="176" w:lineRule="exact"/>
        <w:rPr>
          <w:rFonts w:ascii="Times New Roman" w:cs="Times New Roman" w:eastAsia="Times New Roman" w:hAnsi="Times New Roman"/>
          <w:sz w:val="18"/>
          <w:szCs w:val="18"/>
          <w:color w:val="auto"/>
        </w:rPr>
      </w:pPr>
    </w:p>
    <w:p>
      <w:pPr>
        <w:ind w:left="820" w:right="20" w:firstLine="7"/>
        <w:spacing w:after="0" w:line="257" w:lineRule="auto"/>
        <w:tabs>
          <w:tab w:leader="none" w:pos="107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Agent may rely on and be fully authorized and protected in acting or failing to act upon (a) any guaranty of signature by an “eligible guarantor institution” that is a member or participant in the Securities Transfer Agents Medallion Program or other comparable “signature guarantee program” or insurance program in addition to, or in substitution for, the foregoing; or (b) any law, act, regulation or any interpretation of the same even though such law, act, or regulation may thereafter have been altered, changed, amended or repealed.</w:t>
      </w:r>
    </w:p>
    <w:p>
      <w:pPr>
        <w:spacing w:after="0" w:line="184" w:lineRule="exact"/>
        <w:rPr>
          <w:rFonts w:ascii="Times New Roman" w:cs="Times New Roman" w:eastAsia="Times New Roman" w:hAnsi="Times New Roman"/>
          <w:sz w:val="18"/>
          <w:szCs w:val="18"/>
          <w:color w:val="auto"/>
        </w:rPr>
      </w:pPr>
    </w:p>
    <w:p>
      <w:pPr>
        <w:ind w:left="820" w:right="20" w:firstLine="7"/>
        <w:spacing w:after="0" w:line="256" w:lineRule="auto"/>
        <w:tabs>
          <w:tab w:leader="none" w:pos="103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Warrant Agent believes any ambiguity or uncertainty exists hereunder or in any notice, instruction, direction, request or other communication, paper or document received by the Warrant Agent hereunder, the Warrant Agent, may, in its sole discretion, refrain from taking any action, and shall be fully protected and shall not be liable in any way to Company, the holder of any Warrant Certificate or Book-Entry Warrant Certificate or any other person for refraining from taking such action, unless the Warrant Agent receives written instructions signed by the Company which eliminates such ambiguity or uncertainty to the satisfaction of Warrant Agent.</w:t>
      </w:r>
    </w:p>
    <w:p>
      <w:pPr>
        <w:spacing w:after="0" w:line="39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95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120"/>
          </w:cols>
          <w:pgMar w:left="1440" w:top="902" w:right="339" w:bottom="1440" w:gutter="0" w:footer="0" w:header="0"/>
        </w:sectPr>
      </w:pPr>
    </w:p>
    <w:bookmarkStart w:id="145" w:name="page146"/>
    <w:bookmarkEnd w:id="145"/>
    <w:p>
      <w:pPr>
        <w:ind w:left="1932" w:right="80" w:firstLine="7"/>
        <w:spacing w:after="0" w:line="253" w:lineRule="auto"/>
        <w:tabs>
          <w:tab w:leader="none" w:pos="223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to the contrary, the Warrant Agent’s aggregate liability during any term of this Warrant Agreement with respect to, arising from, or arising in connection with this Warrant Agreement, or from all services provided or omitted to be provided under this Warrant Agreement, whether in contract, or in tort, or otherwise, is limited to, and shall not exceed, the amounts paid hereunder by the Company to the Warrant Agent as fees and charges, but not including reimbursable expenses, during the twelve (12) months immediately preceding the event for which recovery from the Warrant Agent is being sought. Neither party to this Warrant Agreement shall be liable to the other party for any consequential, indirect, special, punitive or incidental damages under any provisions of this Warrant Agreement or for any consequential, indirect, punitive, special or incidental damages arising out of any act or failure to act hereunder even if that party has been advised of or has foreseen the possibility or likelihood of such damages.</w:t>
      </w:r>
    </w:p>
    <w:p>
      <w:pPr>
        <w:spacing w:after="0" w:line="191" w:lineRule="exact"/>
        <w:rPr>
          <w:sz w:val="20"/>
          <w:szCs w:val="20"/>
          <w:color w:val="auto"/>
        </w:rPr>
      </w:pPr>
    </w:p>
    <w:p>
      <w:pPr>
        <w:ind w:left="1292" w:hanging="645"/>
        <w:spacing w:after="0" w:line="260" w:lineRule="auto"/>
        <w:tabs>
          <w:tab w:leader="none" w:pos="1272" w:val="left"/>
        </w:tabs>
        <w:rPr>
          <w:sz w:val="20"/>
          <w:szCs w:val="20"/>
          <w:color w:val="auto"/>
        </w:rPr>
      </w:pPr>
      <w:r>
        <w:rPr>
          <w:rFonts w:ascii="Times New Roman" w:cs="Times New Roman" w:eastAsia="Times New Roman" w:hAnsi="Times New Roman"/>
          <w:sz w:val="18"/>
          <w:szCs w:val="18"/>
          <w:color w:val="auto"/>
        </w:rPr>
        <w:t>7.5</w:t>
      </w:r>
      <w:r>
        <w:rPr>
          <w:sz w:val="20"/>
          <w:szCs w:val="20"/>
          <w:color w:val="auto"/>
        </w:rPr>
        <w:tab/>
      </w:r>
      <w:r>
        <w:rPr>
          <w:rFonts w:ascii="Times New Roman" w:cs="Times New Roman" w:eastAsia="Times New Roman" w:hAnsi="Times New Roman"/>
          <w:sz w:val="18"/>
          <w:szCs w:val="18"/>
          <w:u w:val="single" w:color="auto"/>
          <w:color w:val="auto"/>
        </w:rPr>
        <w:t>Acceptance of Agency</w:t>
      </w:r>
      <w:r>
        <w:rPr>
          <w:rFonts w:ascii="Times New Roman" w:cs="Times New Roman" w:eastAsia="Times New Roman" w:hAnsi="Times New Roman"/>
          <w:sz w:val="18"/>
          <w:szCs w:val="18"/>
          <w:color w:val="auto"/>
        </w:rPr>
        <w:t>. The Warrant Agent hereby accepts the agency established by this Warrant Agreement and agrees to perform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same upon the express terms and conditions herein set forth and, among other things, shall account promptly to the Company with respect to Warrants exercised and concurrently account for, and forward to the Company all moneys received for warrant exercises in a given month by the 5th business day of the following month by wire transfer to an account designated by the Company.</w:t>
      </w:r>
    </w:p>
    <w:p>
      <w:pPr>
        <w:spacing w:after="0" w:line="181" w:lineRule="exact"/>
        <w:rPr>
          <w:sz w:val="20"/>
          <w:szCs w:val="20"/>
          <w:color w:val="auto"/>
        </w:rPr>
      </w:pPr>
    </w:p>
    <w:p>
      <w:pPr>
        <w:ind w:left="1292" w:right="600" w:hanging="645"/>
        <w:spacing w:after="0" w:line="281" w:lineRule="auto"/>
        <w:tabs>
          <w:tab w:leader="none" w:pos="1272" w:val="left"/>
        </w:tabs>
        <w:rPr>
          <w:sz w:val="20"/>
          <w:szCs w:val="20"/>
          <w:color w:val="auto"/>
        </w:rPr>
      </w:pPr>
      <w:r>
        <w:rPr>
          <w:rFonts w:ascii="Times New Roman" w:cs="Times New Roman" w:eastAsia="Times New Roman" w:hAnsi="Times New Roman"/>
          <w:sz w:val="18"/>
          <w:szCs w:val="18"/>
          <w:color w:val="auto"/>
        </w:rPr>
        <w:t>7.6</w:t>
      </w:r>
      <w:r>
        <w:rPr>
          <w:sz w:val="20"/>
          <w:szCs w:val="20"/>
          <w:color w:val="auto"/>
        </w:rPr>
        <w:tab/>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Warrant Agent’s indemnities, immunities and protections provided by this</w:t>
      </w:r>
      <w:r>
        <w:rPr>
          <w:rFonts w:ascii="Times New Roman" w:cs="Times New Roman" w:eastAsia="Times New Roman" w:hAnsi="Times New Roman"/>
          <w:sz w:val="18"/>
          <w:szCs w:val="18"/>
          <w:u w:val="single" w:color="auto"/>
          <w:color w:val="auto"/>
        </w:rPr>
        <w:t xml:space="preserve"> Section 7</w:t>
      </w:r>
      <w:r>
        <w:rPr>
          <w:rFonts w:ascii="Times New Roman" w:cs="Times New Roman" w:eastAsia="Times New Roman" w:hAnsi="Times New Roman"/>
          <w:sz w:val="18"/>
          <w:szCs w:val="18"/>
          <w:color w:val="auto"/>
        </w:rPr>
        <w:t>‎ shall survive the resignation or</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discharge of the Warrant Agent or the termination of this Warrant Agreement.</w:t>
      </w:r>
    </w:p>
    <w:p>
      <w:pPr>
        <w:spacing w:after="0" w:line="162" w:lineRule="exact"/>
        <w:rPr>
          <w:sz w:val="20"/>
          <w:szCs w:val="20"/>
          <w:color w:val="auto"/>
        </w:rPr>
      </w:pPr>
    </w:p>
    <w:p>
      <w:pPr>
        <w:ind w:left="652" w:right="20" w:hanging="652"/>
        <w:spacing w:after="0" w:line="265" w:lineRule="auto"/>
        <w:tabs>
          <w:tab w:leader="none" w:pos="65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xml:space="preserve">. The Registered Holder may, in its sole discretion, exercise Warrants in whole or in part and, in lieu of making the cash payment otherwise contemplated to be made to the Company upon such exercise in payment of the Exercise Price, elect instead to receive upon such exercise the </w:t>
      </w:r>
      <w:r>
        <w:rPr>
          <w:rFonts w:ascii="Times New Roman" w:cs="Times New Roman" w:eastAsia="Times New Roman" w:hAnsi="Times New Roman"/>
          <w:sz w:val="18"/>
          <w:szCs w:val="18"/>
          <w:b w:val="1"/>
          <w:bCs w:val="1"/>
          <w:color w:val="auto"/>
        </w:rPr>
        <w:t>“Net Number”</w:t>
      </w:r>
      <w:r>
        <w:rPr>
          <w:rFonts w:ascii="Times New Roman" w:cs="Times New Roman" w:eastAsia="Times New Roman" w:hAnsi="Times New Roman"/>
          <w:sz w:val="18"/>
          <w:szCs w:val="18"/>
          <w:color w:val="auto"/>
        </w:rPr>
        <w:t xml:space="preserve"> of Warrant Shares determined according to the following formula (a </w:t>
      </w:r>
      <w:r>
        <w:rPr>
          <w:rFonts w:ascii="Times New Roman" w:cs="Times New Roman" w:eastAsia="Times New Roman" w:hAnsi="Times New Roman"/>
          <w:sz w:val="18"/>
          <w:szCs w:val="18"/>
          <w:b w:val="1"/>
          <w:bCs w:val="1"/>
          <w:color w:val="auto"/>
        </w:rPr>
        <w:t>“Cashless Exercise”</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Net Number = </w:t>
      </w:r>
      <w:r>
        <w:rPr>
          <w:rFonts w:ascii="Times New Roman" w:cs="Times New Roman" w:eastAsia="Times New Roman" w:hAnsi="Times New Roman"/>
          <w:sz w:val="18"/>
          <w:szCs w:val="18"/>
          <w:u w:val="single" w:color="auto"/>
          <w:color w:val="auto"/>
        </w:rPr>
        <w:t>(A - B) (X)</w:t>
      </w:r>
    </w:p>
    <w:p>
      <w:pPr>
        <w:spacing w:after="0" w:line="26" w:lineRule="exact"/>
        <w:rPr>
          <w:rFonts w:ascii="Times New Roman" w:cs="Times New Roman" w:eastAsia="Times New Roman" w:hAnsi="Times New Roman"/>
          <w:sz w:val="18"/>
          <w:szCs w:val="18"/>
          <w:color w:val="auto"/>
        </w:rPr>
      </w:pPr>
    </w:p>
    <w:p>
      <w:pPr>
        <w:ind w:left="201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t>
      </w:r>
    </w:p>
    <w:p>
      <w:pPr>
        <w:spacing w:after="0" w:line="205"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foregoing formula:</w:t>
      </w:r>
    </w:p>
    <w:p>
      <w:pPr>
        <w:spacing w:after="0" w:line="223" w:lineRule="exact"/>
        <w:rPr>
          <w:rFonts w:ascii="Times New Roman" w:cs="Times New Roman" w:eastAsia="Times New Roman" w:hAnsi="Times New Roman"/>
          <w:sz w:val="18"/>
          <w:szCs w:val="18"/>
          <w:color w:val="auto"/>
        </w:rPr>
      </w:pPr>
    </w:p>
    <w:p>
      <w:pPr>
        <w:ind w:left="652" w:right="420"/>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Weighted Average Price for the three (3) consecutive Trading Days ending on the date immediately preceding the date of the Exercise Notice.</w:t>
      </w:r>
    </w:p>
    <w:p>
      <w:pPr>
        <w:spacing w:after="0" w:line="161" w:lineRule="exact"/>
        <w:rPr>
          <w:rFonts w:ascii="Times New Roman" w:cs="Times New Roman" w:eastAsia="Times New Roman" w:hAnsi="Times New Roman"/>
          <w:sz w:val="18"/>
          <w:szCs w:val="18"/>
          <w:color w:val="auto"/>
        </w:rPr>
      </w:pPr>
    </w:p>
    <w:p>
      <w:pPr>
        <w:ind w:left="652" w:right="3520"/>
        <w:spacing w:after="0" w:line="52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 the Exercise Price then in effect for the applicable Warrant Shares at the time of such exercise. X= the total number of Warrant Shares with respect to which Warrants are then being exercised.</w:t>
      </w:r>
    </w:p>
    <w:p>
      <w:pPr>
        <w:ind w:left="652" w:hanging="652"/>
        <w:spacing w:after="0"/>
        <w:tabs>
          <w:tab w:leader="none" w:pos="65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1292" w:right="100" w:hanging="646"/>
        <w:spacing w:after="0" w:line="28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All the covenants and provisions of this Warrant Agreement by or for the benefit of the Company or the Warrant Agent shall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bind and inure to the benefit of their respective successors and assigns.</w:t>
      </w:r>
    </w:p>
    <w:p>
      <w:pPr>
        <w:spacing w:after="0" w:line="161" w:lineRule="exact"/>
        <w:rPr>
          <w:rFonts w:ascii="Times New Roman" w:cs="Times New Roman" w:eastAsia="Times New Roman" w:hAnsi="Times New Roman"/>
          <w:sz w:val="18"/>
          <w:szCs w:val="18"/>
          <w:color w:val="auto"/>
        </w:rPr>
      </w:pPr>
    </w:p>
    <w:p>
      <w:pPr>
        <w:ind w:left="1292" w:right="320" w:hanging="646"/>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statement or demand authorized by this Warrant Agreement to be given or made by the Warrant Agent or by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Registered Holder of any Warrant to or on the Company shall be delivered by hand or sent by registered or certified mail or overnight courier service, addressed (until another address is filed in writing by the Company with the Warrant Agent) as follows:</w:t>
      </w:r>
    </w:p>
    <w:p>
      <w:pPr>
        <w:spacing w:after="0" w:line="176"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Incannex Healthcare Inc.</w:t>
      </w:r>
    </w:p>
    <w:p>
      <w:pPr>
        <w:spacing w:after="0" w:line="2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221 Dosoris Lane</w:t>
      </w:r>
    </w:p>
    <w:p>
      <w:pPr>
        <w:spacing w:after="0" w:line="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Glen Cove, NY 11542</w:t>
      </w:r>
    </w:p>
    <w:p>
      <w:pPr>
        <w:spacing w:after="0" w:line="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Attention: Chief Executive Officer</w:t>
      </w:r>
    </w:p>
    <w:p>
      <w:pPr>
        <w:spacing w:after="0" w:line="200" w:lineRule="exact"/>
        <w:rPr>
          <w:sz w:val="20"/>
          <w:szCs w:val="20"/>
          <w:color w:val="auto"/>
        </w:rPr>
      </w:pPr>
    </w:p>
    <w:p>
      <w:pPr>
        <w:spacing w:after="0" w:line="22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95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12"/>
          </w:cols>
          <w:pgMar w:left="328" w:top="902" w:right="359" w:bottom="1440" w:gutter="0" w:footer="0" w:header="0"/>
        </w:sectPr>
      </w:pPr>
    </w:p>
    <w:bookmarkStart w:id="146" w:name="page147"/>
    <w:bookmarkEnd w:id="146"/>
    <w:p>
      <w:pPr>
        <w:jc w:val="both"/>
        <w:ind w:left="640" w:right="40"/>
        <w:spacing w:after="0" w:line="265" w:lineRule="auto"/>
        <w:rPr>
          <w:sz w:val="20"/>
          <w:szCs w:val="20"/>
          <w:color w:val="auto"/>
        </w:rPr>
      </w:pPr>
      <w:r>
        <w:rPr>
          <w:rFonts w:ascii="Times New Roman" w:cs="Times New Roman" w:eastAsia="Times New Roman" w:hAnsi="Times New Roman"/>
          <w:sz w:val="18"/>
          <w:szCs w:val="18"/>
          <w:color w:val="auto"/>
        </w:rPr>
        <w:t>Any notice, statement or demand authorized by this Warrant Agreement to be given or made by the Registered Holder of any Warrant or by the Company to or on the Warrant Agent shall be delivered by hand or sent by registered or certified mail or overnight courier service, addressed (until another address is filed in writing by the Warrant Agent with the Company), as follows:</w:t>
      </w:r>
    </w:p>
    <w:p>
      <w:pPr>
        <w:spacing w:after="0" w:line="176"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Computershare Inc.</w:t>
      </w:r>
    </w:p>
    <w:p>
      <w:pPr>
        <w:spacing w:after="0" w:line="27"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Computershare Trust Company, N.A.</w:t>
      </w:r>
    </w:p>
    <w:p>
      <w:pPr>
        <w:spacing w:after="0" w:line="9"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150 Royall Street</w:t>
      </w:r>
    </w:p>
    <w:p>
      <w:pPr>
        <w:spacing w:after="0" w:line="9"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Canton, MA 02021</w:t>
      </w:r>
    </w:p>
    <w:p>
      <w:pPr>
        <w:spacing w:after="0" w:line="9" w:lineRule="exact"/>
        <w:rPr>
          <w:sz w:val="20"/>
          <w:szCs w:val="20"/>
          <w:color w:val="auto"/>
        </w:rPr>
      </w:pPr>
    </w:p>
    <w:p>
      <w:pPr>
        <w:jc w:val="center"/>
        <w:ind w:right="620"/>
        <w:spacing w:after="0"/>
        <w:rPr>
          <w:sz w:val="20"/>
          <w:szCs w:val="20"/>
          <w:color w:val="auto"/>
        </w:rPr>
      </w:pPr>
      <w:r>
        <w:rPr>
          <w:rFonts w:ascii="Times New Roman" w:cs="Times New Roman" w:eastAsia="Times New Roman" w:hAnsi="Times New Roman"/>
          <w:sz w:val="18"/>
          <w:szCs w:val="18"/>
          <w:color w:val="auto"/>
        </w:rPr>
        <w:t>Attention: Client Services</w:t>
      </w:r>
    </w:p>
    <w:p>
      <w:pPr>
        <w:spacing w:after="0" w:line="206" w:lineRule="exact"/>
        <w:rPr>
          <w:sz w:val="20"/>
          <w:szCs w:val="20"/>
          <w:color w:val="auto"/>
        </w:rPr>
      </w:pPr>
    </w:p>
    <w:p>
      <w:pPr>
        <w:ind w:left="640" w:right="40"/>
        <w:spacing w:after="0" w:line="260" w:lineRule="auto"/>
        <w:rPr>
          <w:sz w:val="20"/>
          <w:szCs w:val="20"/>
          <w:color w:val="auto"/>
        </w:rPr>
      </w:pPr>
      <w:r>
        <w:rPr>
          <w:rFonts w:ascii="Times New Roman" w:cs="Times New Roman" w:eastAsia="Times New Roman" w:hAnsi="Times New Roman"/>
          <w:sz w:val="18"/>
          <w:szCs w:val="18"/>
          <w:color w:val="auto"/>
        </w:rPr>
        <w:t>Any notice, sent by the Warrant Agent pursuant to this Warrant Agreement shall be effective when sent. Any other notice sent pursuant to this Warrant Agreement shall be effective, if delivered by hand, upon receipt thereof by the party to whom it is addressed, if sent by overnight courier, on the next Business Day of the delivery to the courier, and if sent by registered or certified mail on the third day after registration or certification thereof.</w:t>
      </w:r>
    </w:p>
    <w:p>
      <w:pPr>
        <w:spacing w:after="0" w:line="181" w:lineRule="exact"/>
        <w:rPr>
          <w:sz w:val="20"/>
          <w:szCs w:val="20"/>
          <w:color w:val="auto"/>
        </w:rPr>
      </w:pPr>
    </w:p>
    <w:p>
      <w:pPr>
        <w:ind w:left="640" w:hanging="645"/>
        <w:spacing w:after="0" w:line="253" w:lineRule="auto"/>
        <w:tabs>
          <w:tab w:leader="none" w:pos="62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The validity, interpretation, and performance of this Warrant Agreement and of the Warrants shall be governed in all</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respects by the laws of the State of New York, without giving effect to any provision of law or rule that would cause the application of the laws of any jurisdiction other than the State of New York. The Company and the Warrant Agent hereby agree that any action, proceeding or claim against either of them arising out of or relating in any way to this Warrant Agreement shall be brought and enforced in the courts of the State of New York or the United States District Court for the Southern District of New York, and irrevocably submits to such jurisdiction, which jurisdiction shall be exclusive. The Company and the Warrant Agent hereby waive any objection to such exclusive jurisdiction and that such courts represent an inconvenient forum. Any such process or summons to be served upon the Company or the Warrant Agent may be served by transmitting a copy thereof by registered or certified mail, return receipt requested, postage prepaid, addressed to it at the address set forth in Section 9‎.2 hereof. Such mailing shall be deemed personal service and shall be legal and binding upon the Company and the Warrant Agent in any action, proceeding or claim.</w:t>
      </w:r>
    </w:p>
    <w:p>
      <w:pPr>
        <w:spacing w:after="0" w:line="188" w:lineRule="exact"/>
        <w:rPr>
          <w:sz w:val="20"/>
          <w:szCs w:val="20"/>
          <w:color w:val="auto"/>
        </w:rPr>
      </w:pPr>
    </w:p>
    <w:p>
      <w:pPr>
        <w:ind w:left="640" w:right="60" w:hanging="645"/>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u w:val="single" w:color="auto"/>
          <w:color w:val="auto"/>
        </w:rPr>
        <w:t>Persons Having Rights under this Warrant Agreement</w:t>
      </w:r>
      <w:r>
        <w:rPr>
          <w:rFonts w:ascii="Times New Roman" w:cs="Times New Roman" w:eastAsia="Times New Roman" w:hAnsi="Times New Roman"/>
          <w:sz w:val="18"/>
          <w:szCs w:val="18"/>
          <w:color w:val="auto"/>
        </w:rPr>
        <w:t>. Nothing in this Warrant Agreement expressed and nothing that may be implied</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from any of the provisions hereof is intended, or shall be construed, to confer upon, or give to, any person other than the parties hereto and the Registered Holders of the Warrants any right, remedy, or claim under or by reason of this Warrant Agreement or of any covenant, condition, stipulation, promise, or agreement hereof. All covenants, conditions, stipulations, promises, and agreements contained in this Warrant Agreement shall be for the sole and exclusive benefit of the parties hereto and its successors and assigns and of the Registered Holders of the Warrants.</w:t>
      </w:r>
    </w:p>
    <w:p>
      <w:pPr>
        <w:spacing w:after="0" w:line="184" w:lineRule="exact"/>
        <w:rPr>
          <w:sz w:val="20"/>
          <w:szCs w:val="20"/>
          <w:color w:val="auto"/>
        </w:rPr>
      </w:pPr>
    </w:p>
    <w:p>
      <w:pPr>
        <w:jc w:val="both"/>
        <w:ind w:left="640" w:right="220" w:hanging="645"/>
        <w:spacing w:after="0" w:line="265" w:lineRule="auto"/>
        <w:tabs>
          <w:tab w:leader="none" w:pos="62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u w:val="single" w:color="auto"/>
          <w:color w:val="auto"/>
        </w:rPr>
        <w:t>Examination of the Warrant Agreement</w:t>
      </w:r>
      <w:r>
        <w:rPr>
          <w:rFonts w:ascii="Times New Roman" w:cs="Times New Roman" w:eastAsia="Times New Roman" w:hAnsi="Times New Roman"/>
          <w:sz w:val="18"/>
          <w:szCs w:val="18"/>
          <w:color w:val="auto"/>
        </w:rPr>
        <w:t>. A copy of this Warrant Agreement shall be available at all reasonable times at the office of the</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Warrant Agent for inspection by the Registered Holder of any Warrant. The Warrant Agent may require any such Registered Holder to submit his, her or its Warrant for inspection.</w:t>
      </w:r>
    </w:p>
    <w:p>
      <w:pPr>
        <w:spacing w:after="0" w:line="176" w:lineRule="exact"/>
        <w:rPr>
          <w:sz w:val="20"/>
          <w:szCs w:val="20"/>
          <w:color w:val="auto"/>
        </w:rPr>
      </w:pPr>
    </w:p>
    <w:p>
      <w:pPr>
        <w:ind w:left="640" w:right="340" w:hanging="645"/>
        <w:spacing w:after="0" w:line="260" w:lineRule="auto"/>
        <w:tabs>
          <w:tab w:leader="none" w:pos="62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8"/>
          <w:szCs w:val="18"/>
          <w:u w:val="single" w:color="auto"/>
          <w:color w:val="auto"/>
        </w:rPr>
        <w:t>Counterparts; Facsimile Signatures</w:t>
      </w:r>
      <w:r>
        <w:rPr>
          <w:rFonts w:ascii="Times New Roman" w:cs="Times New Roman" w:eastAsia="Times New Roman" w:hAnsi="Times New Roman"/>
          <w:sz w:val="18"/>
          <w:szCs w:val="18"/>
          <w:color w:val="auto"/>
        </w:rPr>
        <w:t>. This Warrant Agreement may be executed in any number of counterparts, and each of such</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counterparts shall, for all purposes, be deemed to be an original, and all such counterparts shall together constitute one and the same instrument. Facsimile or electronic signatures shall constitute original signatures for all purposes of this Warrant Agreement and shall have the same authority, effect and enforceability as an original signature.</w:t>
      </w:r>
    </w:p>
    <w:p>
      <w:pPr>
        <w:spacing w:after="0" w:line="181" w:lineRule="exact"/>
        <w:rPr>
          <w:sz w:val="20"/>
          <w:szCs w:val="20"/>
          <w:color w:val="auto"/>
        </w:rPr>
      </w:pPr>
    </w:p>
    <w:p>
      <w:pPr>
        <w:ind w:left="640" w:right="100" w:hanging="645"/>
        <w:spacing w:after="0" w:line="281" w:lineRule="auto"/>
        <w:tabs>
          <w:tab w:leader="none" w:pos="62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8"/>
          <w:szCs w:val="18"/>
          <w:u w:val="single" w:color="auto"/>
          <w:color w:val="auto"/>
        </w:rPr>
        <w:t>Effect of Headings</w:t>
      </w:r>
      <w:r>
        <w:rPr>
          <w:rFonts w:ascii="Times New Roman" w:cs="Times New Roman" w:eastAsia="Times New Roman" w:hAnsi="Times New Roman"/>
          <w:sz w:val="18"/>
          <w:szCs w:val="18"/>
          <w:color w:val="auto"/>
        </w:rPr>
        <w:t>. The section headings herein are for convenience only and are not part of this Warrant Agreement and shall not affect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the interpretation thereof.</w:t>
      </w:r>
    </w:p>
    <w:p>
      <w:pPr>
        <w:spacing w:after="0" w:line="37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95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560"/>
          </w:cols>
          <w:pgMar w:left="980" w:top="902" w:right="359" w:bottom="1440" w:gutter="0" w:footer="0" w:header="0"/>
        </w:sectPr>
      </w:pPr>
    </w:p>
    <w:bookmarkStart w:id="147" w:name="page148"/>
    <w:bookmarkEnd w:id="147"/>
    <w:p>
      <w:pPr>
        <w:spacing w:after="0"/>
        <w:tabs>
          <w:tab w:leader="none" w:pos="620" w:val="left"/>
        </w:tabs>
        <w:rPr>
          <w:sz w:val="20"/>
          <w:szCs w:val="20"/>
          <w:color w:val="auto"/>
        </w:rPr>
      </w:pPr>
      <w:r>
        <w:rPr>
          <w:rFonts w:ascii="Times New Roman" w:cs="Times New Roman" w:eastAsia="Times New Roman" w:hAnsi="Times New Roman"/>
          <w:sz w:val="18"/>
          <w:szCs w:val="18"/>
          <w:color w:val="auto"/>
        </w:rPr>
        <w:t>9.8</w:t>
      </w:r>
      <w:r>
        <w:rPr>
          <w:sz w:val="20"/>
          <w:szCs w:val="20"/>
          <w:color w:val="auto"/>
        </w:rPr>
        <w:tab/>
      </w:r>
      <w:r>
        <w:rPr>
          <w:rFonts w:ascii="Times New Roman" w:cs="Times New Roman" w:eastAsia="Times New Roman" w:hAnsi="Times New Roman"/>
          <w:sz w:val="17"/>
          <w:szCs w:val="17"/>
          <w:u w:val="single" w:color="auto"/>
          <w:color w:val="auto"/>
        </w:rPr>
        <w:t>Amendments</w:t>
      </w:r>
      <w:r>
        <w:rPr>
          <w:rFonts w:ascii="Times New Roman" w:cs="Times New Roman" w:eastAsia="Times New Roman" w:hAnsi="Times New Roman"/>
          <w:sz w:val="17"/>
          <w:szCs w:val="17"/>
          <w:color w:val="auto"/>
        </w:rPr>
        <w:t>.</w:t>
      </w:r>
    </w:p>
    <w:p>
      <w:pPr>
        <w:spacing w:after="0" w:line="224" w:lineRule="exact"/>
        <w:rPr>
          <w:sz w:val="20"/>
          <w:szCs w:val="20"/>
          <w:color w:val="auto"/>
        </w:rPr>
      </w:pPr>
    </w:p>
    <w:p>
      <w:pPr>
        <w:ind w:left="1280" w:hanging="646"/>
        <w:spacing w:after="0" w:line="251" w:lineRule="auto"/>
        <w:tabs>
          <w:tab w:leader="none" w:pos="1260" w:val="left"/>
        </w:tabs>
        <w:rPr>
          <w:sz w:val="20"/>
          <w:szCs w:val="20"/>
          <w:color w:val="auto"/>
        </w:rPr>
      </w:pPr>
      <w:r>
        <w:rPr>
          <w:rFonts w:ascii="Times New Roman" w:cs="Times New Roman" w:eastAsia="Times New Roman" w:hAnsi="Times New Roman"/>
          <w:sz w:val="18"/>
          <w:szCs w:val="18"/>
          <w:color w:val="auto"/>
        </w:rPr>
        <w:t>9.8.1</w:t>
        <w:tab/>
        <w:t>This Warrant Agreement and any Warrant certificate may be amended by the parties hereto by executing a supplemental warrant agreement (a “</w:t>
      </w:r>
      <w:r>
        <w:rPr>
          <w:rFonts w:ascii="Times New Roman" w:cs="Times New Roman" w:eastAsia="Times New Roman" w:hAnsi="Times New Roman"/>
          <w:sz w:val="18"/>
          <w:szCs w:val="18"/>
          <w:b w:val="1"/>
          <w:bCs w:val="1"/>
          <w:color w:val="auto"/>
        </w:rPr>
        <w:t>Supplemental Agreement</w:t>
      </w:r>
      <w:r>
        <w:rPr>
          <w:rFonts w:ascii="Times New Roman" w:cs="Times New Roman" w:eastAsia="Times New Roman" w:hAnsi="Times New Roman"/>
          <w:sz w:val="18"/>
          <w:szCs w:val="18"/>
          <w:color w:val="auto"/>
        </w:rPr>
        <w:t>”), without the consent of any of the Warrant Holders, for the purpose of (i) curing any ambiguity, or curing, correcting or supplementing any defective provision contained herein, or making any other provisions with respect to matters or questions arising under this Warrant Agreement that is not inconsistent with the provisions of this Warrant Agreement or the Warrant certificates, (ii) evidencing the succession of another entity to the Company and the assumption by any such successor of the covenants of the Company contained in this Warrant Agreement and the Warrants, (iii) evidencing and providing for the acceptance of appointment by a successor Warrant Agent with respect to the Warrants, (iv) adding to the covenants of the Company for the benefit of the Registered Holders or surrendering any right or power conferred upon the Company under this Warrant Agreement, or (viii) amending this Warrant Agreement and the Warrants in any manner that the Company may deem to be necessary or desirable and that will not adversely affect the interests of the Registered Holders in any material respect. All other modifications or amendments, including any amendment to increase the Warrant Price or shorten the Exercise Period, shall require the written consent of the Registered Holders representing at least of 50.1% of the Warrant Shares issuable under the Warrants then outstanding. Notwithstanding the foregoing, the Company may lower the Warrant Price or extend the duration of the Exercise Period in accordance with Sections 3‎.1 and 3‎.2, respectively, without such consent. No supplement or amendment to this Agreement shall be effective unless duly executed by the Warrant Agent and the Company. As a condition precedent to the Warrant Agent’s execution of any amendment, the Company shall deliver to the Warrant Agent a certificate from a duly authorized officer of the Company that states that the proposed amendment is in compliance with the terms of this Section 9‎.8. Notwithstanding anything in this Agreement to the contrary, the Warrant Agent may, but shall not be obligated to, enter into any supplement or amendment that adversely affects the Warrant Agent’s own rights, duties, immunities or obligations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3653155</wp:posOffset>
            </wp:positionH>
            <wp:positionV relativeFrom="paragraph">
              <wp:posOffset>-847090</wp:posOffset>
            </wp:positionV>
            <wp:extent cx="55753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4">
                      <a:extLst>
                        <a:ext uri="{28A0092B-C50C-407E-A947-70E740481C1C}"/>
                      </a:extLst>
                    </a:blip>
                    <a:srcRect/>
                    <a:stretch>
                      <a:fillRect/>
                    </a:stretch>
                  </pic:blipFill>
                  <pic:spPr bwMode="auto">
                    <a:xfrm>
                      <a:off x="0" y="0"/>
                      <a:ext cx="557530" cy="8255"/>
                    </a:xfrm>
                    <a:prstGeom prst="rect">
                      <a:avLst/>
                    </a:prstGeom>
                    <a:noFill/>
                  </pic:spPr>
                </pic:pic>
              </a:graphicData>
            </a:graphic>
          </wp:anchor>
        </w:drawing>
        <w:drawing>
          <wp:anchor simplePos="0" relativeHeight="251657728" behindDoc="1" locked="0" layoutInCell="0" allowOverlap="1">
            <wp:simplePos x="0" y="0"/>
            <wp:positionH relativeFrom="column">
              <wp:posOffset>1415415</wp:posOffset>
            </wp:positionH>
            <wp:positionV relativeFrom="paragraph">
              <wp:posOffset>-299720</wp:posOffset>
            </wp:positionV>
            <wp:extent cx="5130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5">
                      <a:extLst>
                        <a:ext uri="{28A0092B-C50C-407E-A947-70E740481C1C}"/>
                      </a:extLst>
                    </a:blip>
                    <a:srcRect/>
                    <a:stretch>
                      <a:fillRect/>
                    </a:stretch>
                  </pic:blipFill>
                  <pic:spPr bwMode="auto">
                    <a:xfrm>
                      <a:off x="0" y="0"/>
                      <a:ext cx="513080" cy="8255"/>
                    </a:xfrm>
                    <a:prstGeom prst="rect">
                      <a:avLst/>
                    </a:prstGeom>
                    <a:noFill/>
                  </pic:spPr>
                </pic:pic>
              </a:graphicData>
            </a:graphic>
          </wp:anchor>
        </w:drawing>
      </w:r>
    </w:p>
    <w:p>
      <w:pPr>
        <w:spacing w:after="0" w:line="176" w:lineRule="exact"/>
        <w:rPr>
          <w:sz w:val="20"/>
          <w:szCs w:val="20"/>
          <w:color w:val="auto"/>
        </w:rPr>
      </w:pPr>
    </w:p>
    <w:p>
      <w:pPr>
        <w:jc w:val="both"/>
        <w:ind w:left="1280" w:right="140" w:hanging="646"/>
        <w:spacing w:after="0" w:line="265" w:lineRule="auto"/>
        <w:tabs>
          <w:tab w:leader="none" w:pos="1260" w:val="left"/>
        </w:tabs>
        <w:rPr>
          <w:sz w:val="20"/>
          <w:szCs w:val="20"/>
          <w:color w:val="auto"/>
        </w:rPr>
      </w:pPr>
      <w:r>
        <w:rPr>
          <w:rFonts w:ascii="Times New Roman" w:cs="Times New Roman" w:eastAsia="Times New Roman" w:hAnsi="Times New Roman"/>
          <w:sz w:val="18"/>
          <w:szCs w:val="18"/>
          <w:color w:val="auto"/>
        </w:rPr>
        <w:t>9.8.2</w:t>
        <w:tab/>
        <w:t>The Company will provide written notice to the Warrant Agent of any amendment to the terms of any Warrant Certificate with one or more holders. The Company shall not amend the Warrant Certificates without the written consent of the Warrant Agent, such consent not to be unreasonably withheld or delayed.</w:t>
      </w:r>
    </w:p>
    <w:p>
      <w:pPr>
        <w:spacing w:after="0" w:line="176" w:lineRule="exact"/>
        <w:rPr>
          <w:sz w:val="20"/>
          <w:szCs w:val="20"/>
          <w:color w:val="auto"/>
        </w:rPr>
      </w:pPr>
    </w:p>
    <w:p>
      <w:pPr>
        <w:ind w:left="640" w:hanging="645"/>
        <w:spacing w:after="0" w:line="256" w:lineRule="auto"/>
        <w:tabs>
          <w:tab w:leader="none" w:pos="620" w:val="left"/>
        </w:tabs>
        <w:rPr>
          <w:sz w:val="20"/>
          <w:szCs w:val="20"/>
          <w:color w:val="auto"/>
        </w:rPr>
      </w:pPr>
      <w:r>
        <w:rPr>
          <w:rFonts w:ascii="Times New Roman" w:cs="Times New Roman" w:eastAsia="Times New Roman" w:hAnsi="Times New Roman"/>
          <w:sz w:val="18"/>
          <w:szCs w:val="18"/>
          <w:color w:val="auto"/>
        </w:rPr>
        <w:t>9.9</w:t>
      </w:r>
      <w:r>
        <w:rPr>
          <w:sz w:val="20"/>
          <w:szCs w:val="20"/>
          <w:color w:val="auto"/>
        </w:rPr>
        <w:tab/>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This Warrant Agreement shall be deemed severable, and the invalidity or unenforceability of any term or provision hereof</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shall not affect the validity or enforceability of this Warrant Agreement or of any other term or provision hereof; provided, however, that if any such excluded term or provision shall adversely affect the rights, immunities, liabilities, duties or obligations of the Warrant Agent, the Warrant Agent shall be entitled to resign immediately upon written notice to the Company. Furthermore, in lieu of any such invalid or unenforceable term or provision, the parties hereto intend that there shall be added as a part of this Warrant Agreement a provision as similar in terms to such invalid or unenforceable provision as may be possible and be valid and enforceable.</w:t>
      </w:r>
    </w:p>
    <w:p>
      <w:pPr>
        <w:spacing w:after="0" w:line="180" w:lineRule="exact"/>
        <w:rPr>
          <w:sz w:val="20"/>
          <w:szCs w:val="20"/>
          <w:color w:val="auto"/>
        </w:rPr>
      </w:pPr>
    </w:p>
    <w:p>
      <w:pPr>
        <w:ind w:left="640" w:right="40" w:hanging="645"/>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9.10</w:t>
      </w:r>
      <w:r>
        <w:rPr>
          <w:sz w:val="20"/>
          <w:szCs w:val="20"/>
          <w:color w:val="auto"/>
        </w:rPr>
        <w:tab/>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For purposes of this Warrant Agreement, a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is any day other than a Saturday, Sunday or a day on which</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commercial banks in The City of New York are authorized or required by law to remain closed; provided, however,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39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95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520"/>
          </w:cols>
          <w:pgMar w:left="980" w:top="902" w:right="399" w:bottom="1440" w:gutter="0" w:footer="0" w:header="0"/>
        </w:sectPr>
      </w:pPr>
    </w:p>
    <w:bookmarkStart w:id="148" w:name="page149"/>
    <w:bookmarkEnd w:id="148"/>
    <w:p>
      <w:pPr>
        <w:ind w:left="180" w:hanging="645"/>
        <w:spacing w:after="0" w:line="252" w:lineRule="auto"/>
        <w:tabs>
          <w:tab w:leader="none" w:pos="160" w:val="left"/>
        </w:tabs>
        <w:rPr>
          <w:sz w:val="20"/>
          <w:szCs w:val="20"/>
          <w:color w:val="auto"/>
        </w:rPr>
      </w:pPr>
      <w:r>
        <w:rPr>
          <w:rFonts w:ascii="Times New Roman" w:cs="Times New Roman" w:eastAsia="Times New Roman" w:hAnsi="Times New Roman"/>
          <w:sz w:val="18"/>
          <w:szCs w:val="18"/>
          <w:color w:val="auto"/>
        </w:rPr>
        <w:t>9.11</w:t>
      </w:r>
      <w:r>
        <w:rPr>
          <w:sz w:val="20"/>
          <w:szCs w:val="20"/>
          <w:color w:val="auto"/>
        </w:rPr>
        <w:tab/>
      </w:r>
      <w:r>
        <w:rPr>
          <w:rFonts w:ascii="Times New Roman" w:cs="Times New Roman" w:eastAsia="Times New Roman" w:hAnsi="Times New Roman"/>
          <w:sz w:val="18"/>
          <w:szCs w:val="18"/>
          <w:u w:val="single" w:color="auto"/>
          <w:color w:val="auto"/>
        </w:rPr>
        <w:t>Bank Accounts</w:t>
      </w:r>
      <w:r>
        <w:rPr>
          <w:rFonts w:ascii="Times New Roman" w:cs="Times New Roman" w:eastAsia="Times New Roman" w:hAnsi="Times New Roman"/>
          <w:sz w:val="18"/>
          <w:szCs w:val="18"/>
          <w:color w:val="auto"/>
        </w:rPr>
        <w:t>. All funds received by Computershare under this Warrant Agreement that are to be distributed or applied by</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Computershare in the performance of its services hereunder (the “</w:t>
      </w:r>
      <w:r>
        <w:rPr>
          <w:rFonts w:ascii="Times New Roman" w:cs="Times New Roman" w:eastAsia="Times New Roman" w:hAnsi="Times New Roman"/>
          <w:sz w:val="18"/>
          <w:szCs w:val="18"/>
          <w:b w:val="1"/>
          <w:bCs w:val="1"/>
          <w:color w:val="auto"/>
        </w:rPr>
        <w:t>Funds</w:t>
      </w:r>
      <w:r>
        <w:rPr>
          <w:rFonts w:ascii="Times New Roman" w:cs="Times New Roman" w:eastAsia="Times New Roman" w:hAnsi="Times New Roman"/>
          <w:sz w:val="18"/>
          <w:szCs w:val="18"/>
          <w:color w:val="auto"/>
        </w:rPr>
        <w:t>”) shall be held by Computershare as agent for the Company and deposited in one or more bank accounts to be maintained by Computershare in its name as agent for the Company. Until paid pursuant to this Agreement, Computershare may hold or invest the Funds through such accounts in: (a) funds backed by obligations of, or guaranteed by, the United States of America; (b) debt or commercial paper obligations rated A-1 or P-1 or better by S&amp;P Global Inc. (“</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or Moody's Investors Service, Inc. (“</w:t>
      </w:r>
      <w:r>
        <w:rPr>
          <w:rFonts w:ascii="Times New Roman" w:cs="Times New Roman" w:eastAsia="Times New Roman" w:hAnsi="Times New Roman"/>
          <w:sz w:val="18"/>
          <w:szCs w:val="18"/>
          <w:b w:val="1"/>
          <w:bCs w:val="1"/>
          <w:color w:val="auto"/>
        </w:rPr>
        <w:t>Moody’s</w:t>
      </w:r>
      <w:r>
        <w:rPr>
          <w:rFonts w:ascii="Times New Roman" w:cs="Times New Roman" w:eastAsia="Times New Roman" w:hAnsi="Times New Roman"/>
          <w:sz w:val="18"/>
          <w:szCs w:val="18"/>
          <w:color w:val="auto"/>
        </w:rPr>
        <w:t>”), respectively; (c) Government and Treasury backed AAA-rated Fixed NAV money market funds that comply with Rule 2a-7 of the Investment Company Act of 1940, as amended; or (d) short term certificates of deposit, bank repurchase agreements, and bank accounts with commercial banks with Tier 1 capital exceeding $1 billion, or with an investment grade rating by S&amp;P (LT Local Issuer Credit Rating), Moody’s (Long Term Rating) and Fitch Ratings, Inc. (LT Issuer Default Rating) (each as reported by Bloomberg Finance L.P.). Computershare shall have no responsibility or liability for any diminution of the Funds that may result from any deposit or investment made by Computershare in accordance with this paragraph, including any losses resulting from a default by any bank, financial institution or other third party. Computershare may from time to time receive interest, dividends or other earnings in connection with such deposits or investments. Computershare shall not be obligated to pay such interest, dividends or earnings to the Company, any holder or any other party.</w:t>
      </w:r>
    </w:p>
    <w:p>
      <w:pPr>
        <w:spacing w:after="0" w:line="190" w:lineRule="exact"/>
        <w:rPr>
          <w:sz w:val="20"/>
          <w:szCs w:val="20"/>
          <w:color w:val="auto"/>
        </w:rPr>
      </w:pPr>
    </w:p>
    <w:p>
      <w:pPr>
        <w:ind w:left="180" w:right="100" w:hanging="645"/>
        <w:spacing w:after="0" w:line="260" w:lineRule="auto"/>
        <w:tabs>
          <w:tab w:leader="none" w:pos="160" w:val="left"/>
        </w:tabs>
        <w:rPr>
          <w:sz w:val="20"/>
          <w:szCs w:val="20"/>
          <w:color w:val="auto"/>
        </w:rPr>
      </w:pPr>
      <w:r>
        <w:rPr>
          <w:rFonts w:ascii="Times New Roman" w:cs="Times New Roman" w:eastAsia="Times New Roman" w:hAnsi="Times New Roman"/>
          <w:sz w:val="18"/>
          <w:szCs w:val="18"/>
          <w:color w:val="auto"/>
        </w:rPr>
        <w:t>9.12</w:t>
      </w:r>
      <w:r>
        <w:rPr>
          <w:sz w:val="20"/>
          <w:szCs w:val="20"/>
          <w:color w:val="auto"/>
        </w:rPr>
        <w:tab/>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Notwithstanding anything to the contrary contained herein, the Warrant Agent will not be liable for any delays or failures</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in performance resulting from acts beyond its reasonable control including, without limitation, acts of God, pandemics, epidemics, terrorist acts, shortage of supply, breakdowns or malfunctions, interruptions or malfunction of computer facilities, or loss of data due to power failures or mechanical difficulties with information storage or retrieval systems, labor difficulties, war, or civil unrest.</w:t>
      </w:r>
    </w:p>
    <w:p>
      <w:pPr>
        <w:spacing w:after="0" w:line="181" w:lineRule="exact"/>
        <w:rPr>
          <w:sz w:val="20"/>
          <w:szCs w:val="20"/>
          <w:color w:val="auto"/>
        </w:rPr>
      </w:pPr>
    </w:p>
    <w:p>
      <w:pPr>
        <w:ind w:left="180" w:right="160" w:hanging="645"/>
        <w:spacing w:after="0" w:line="260" w:lineRule="auto"/>
        <w:tabs>
          <w:tab w:leader="none" w:pos="160" w:val="left"/>
        </w:tabs>
        <w:rPr>
          <w:sz w:val="20"/>
          <w:szCs w:val="20"/>
          <w:color w:val="auto"/>
        </w:rPr>
      </w:pPr>
      <w:r>
        <w:rPr>
          <w:rFonts w:ascii="Times New Roman" w:cs="Times New Roman" w:eastAsia="Times New Roman" w:hAnsi="Times New Roman"/>
          <w:sz w:val="18"/>
          <w:szCs w:val="18"/>
          <w:color w:val="auto"/>
        </w:rPr>
        <w:t>9.13</w:t>
      </w:r>
      <w:r>
        <w:rPr>
          <w:sz w:val="20"/>
          <w:szCs w:val="20"/>
          <w:color w:val="auto"/>
        </w:rPr>
        <w:tab/>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contains the entire agreement and understanding among the parties hereto with respect to the subject</w:t>
      </w:r>
      <w:r>
        <w:rPr>
          <w:rFonts w:ascii="Times New Roman" w:cs="Times New Roman" w:eastAsia="Times New Roman" w:hAnsi="Times New Roman"/>
          <w:sz w:val="18"/>
          <w:szCs w:val="18"/>
          <w:u w:val="single" w:color="auto"/>
          <w:color w:val="auto"/>
        </w:rPr>
        <w:t xml:space="preserve"> </w:t>
      </w:r>
      <w:r>
        <w:rPr>
          <w:rFonts w:ascii="Times New Roman" w:cs="Times New Roman" w:eastAsia="Times New Roman" w:hAnsi="Times New Roman"/>
          <w:sz w:val="18"/>
          <w:szCs w:val="18"/>
          <w:color w:val="auto"/>
        </w:rPr>
        <w:t>matter hereof, and supersedes all prior and contemporaneous agreements, understandings, inducements and conditions, express or implied, oral or written, of any nature whatsoever with respect to the subject matter hereof. The express terms hereof control and supersede any provision in the Warrant Certificate concerning the duties, obligations and immunities of the Warrant Agent.</w:t>
      </w:r>
    </w:p>
    <w:p>
      <w:pPr>
        <w:spacing w:after="0" w:line="179"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i w:val="1"/>
          <w:iCs w:val="1"/>
          <w:color w:val="auto"/>
        </w:rPr>
        <w:t>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95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120"/>
          </w:cols>
          <w:pgMar w:left="1440" w:top="902"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7"/>
          <w:szCs w:val="17"/>
          <w:color w:val="auto"/>
        </w:rPr>
        <w:t>IN WITNESS WHEREOF, this Warrant Agreement has been duly executed by the patties hereto as of the day and year first above written.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17145</wp:posOffset>
            </wp:positionV>
            <wp:extent cx="263398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8">
                      <a:extLst>
                        <a:ext uri="{28A0092B-C50C-407E-A947-70E740481C1C}"/>
                      </a:extLst>
                    </a:blip>
                    <a:srcRect/>
                    <a:stretch>
                      <a:fillRect/>
                    </a:stretch>
                  </pic:blipFill>
                  <pic:spPr bwMode="auto">
                    <a:xfrm>
                      <a:off x="0" y="0"/>
                      <a:ext cx="2633980" cy="17145"/>
                    </a:xfrm>
                    <a:prstGeom prst="rect">
                      <a:avLst/>
                    </a:prstGeom>
                    <a:noFill/>
                  </pic:spPr>
                </pic:pic>
              </a:graphicData>
            </a:graphic>
          </wp:anchor>
        </w:drawing>
      </w:r>
    </w:p>
    <w:p>
      <w:pPr>
        <w:spacing w:after="0" w:line="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Joel Latham</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COMPUTERSHARE TRUST COMPANY, N.A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COMPUTERSHARE INC.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17145</wp:posOffset>
            </wp:positionV>
            <wp:extent cx="249745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9">
                      <a:extLst>
                        <a:ext uri="{28A0092B-C50C-407E-A947-70E740481C1C}"/>
                      </a:extLst>
                    </a:blip>
                    <a:srcRect/>
                    <a:stretch>
                      <a:fillRect/>
                    </a:stretch>
                  </pic:blipFill>
                  <pic:spPr bwMode="auto">
                    <a:xfrm>
                      <a:off x="0" y="0"/>
                      <a:ext cx="2497455"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3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139"/>
          </w:cols>
          <w:pgMar w:left="320" w:top="902" w:right="1440" w:bottom="1440" w:gutter="0" w:footer="0" w:header="0"/>
        </w:sectPr>
      </w:pPr>
    </w:p>
    <w:bookmarkStart w:id="150" w:name="page151"/>
    <w:bookmarkEnd w:id="150"/>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[Form of Warrant]</w:t>
      </w:r>
    </w:p>
    <w:p>
      <w:pPr>
        <w:spacing w:after="0" w:line="224"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b w:val="1"/>
          <w:bCs w:val="1"/>
          <w:color w:val="auto"/>
        </w:rPr>
        <w:t>[UNLESS THIS CERTIFICATE IS PRESENTED BY AN AUTHORIZED REPRESENTATIVE OF THE HOLDER, TO THE ISSUER OR ITS AGENT FOR REGISTRATION OF TRANSFER, EXCHANGE, OR PAYMENT, ANY TRANSFER, PLEDGE OR OTHER USE HEREOF FOR VALUE OR OTHERWISE BY OR TO ANY PERSON IS WRONGFUL INASMUCH AS HOLDER HAS AN INTEREST HEREIN.]</w:t>
      </w:r>
    </w:p>
    <w:p>
      <w:pPr>
        <w:sectPr>
          <w:pgSz w:w="11900" w:h="16838" w:orient="portrait"/>
          <w:cols w:equalWidth="0" w:num="1">
            <w:col w:w="11160"/>
          </w:cols>
          <w:pgMar w:left="320" w:top="898" w:right="419" w:bottom="1440" w:gutter="0" w:footer="0" w:header="0"/>
        </w:sectPr>
      </w:pP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No.: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Number of Warrants: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 Date: November 28, 2023</w:t>
      </w:r>
    </w:p>
    <w:p>
      <w:pPr>
        <w:spacing w:after="0" w:line="200" w:lineRule="exact"/>
        <w:rPr>
          <w:sz w:val="20"/>
          <w:szCs w:val="20"/>
          <w:color w:val="auto"/>
        </w:rPr>
      </w:pPr>
    </w:p>
    <w:p>
      <w:pPr>
        <w:sectPr>
          <w:pgSz w:w="11900" w:h="16838" w:orient="portrait"/>
          <w:cols w:equalWidth="0" w:num="2">
            <w:col w:w="4900" w:space="720"/>
            <w:col w:w="5540"/>
          </w:cols>
          <w:pgMar w:left="320" w:top="898" w:right="419" w:bottom="1440" w:gutter="0" w:footer="0" w:header="0"/>
          <w:type w:val="continuous"/>
        </w:sectPr>
      </w:pPr>
    </w:p>
    <w:p>
      <w:pPr>
        <w:spacing w:after="0" w:line="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2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WARRANT CERTIFICATE</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NOT EXERCISABLE AFTER AUGUST 4, 2025</w:t>
      </w:r>
    </w:p>
    <w:p>
      <w:pPr>
        <w:sectPr>
          <w:pgSz w:w="11900" w:h="16838" w:orient="portrait"/>
          <w:cols w:equalWidth="0" w:num="1">
            <w:col w:w="11160"/>
          </w:cols>
          <w:pgMar w:left="320" w:top="898" w:right="419" w:bottom="1440" w:gutter="0" w:footer="0" w:header="0"/>
          <w:type w:val="continuous"/>
        </w:sectPr>
      </w:pPr>
    </w:p>
    <w:p>
      <w:pPr>
        <w:spacing w:after="0" w:line="213"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This certifies that [●] (“Holder”), or its registered assigns, is the registered owner of the number of Warrants set forth above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Each Warrant entitles its registered holder to purchase from Incannex Healthcare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at any time prior to 5:00 P.M. (New York City time) on August 4, 2025, one share of common stock, par value $0.0001 per share, of the Company (each, a “</w:t>
      </w:r>
      <w:r>
        <w:rPr>
          <w:rFonts w:ascii="Times New Roman" w:cs="Times New Roman" w:eastAsia="Times New Roman" w:hAnsi="Times New Roman"/>
          <w:sz w:val="18"/>
          <w:szCs w:val="18"/>
          <w:b w:val="1"/>
          <w:bCs w:val="1"/>
          <w:color w:val="auto"/>
        </w:rPr>
        <w:t>Warrant Share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at an exercise price of $40.24 per Warrant Share, subject to possible adjustments as provided in the Warrant Agency Agreement (as defined below).</w:t>
      </w:r>
    </w:p>
    <w:p>
      <w:pPr>
        <w:spacing w:after="0" w:line="18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terms and conditions of the Warrants and the rights and obligations of the holder of this Warrant Certificate are set forth in the Warrant Agency Agreement, dated as of December 29, 2023 (the “</w:t>
      </w:r>
      <w:r>
        <w:rPr>
          <w:rFonts w:ascii="Times New Roman" w:cs="Times New Roman" w:eastAsia="Times New Roman" w:hAnsi="Times New Roman"/>
          <w:sz w:val="18"/>
          <w:szCs w:val="18"/>
          <w:b w:val="1"/>
          <w:bCs w:val="1"/>
          <w:color w:val="auto"/>
        </w:rPr>
        <w:t>Warrant Agency Agreement</w:t>
      </w:r>
      <w:r>
        <w:rPr>
          <w:rFonts w:ascii="Times New Roman" w:cs="Times New Roman" w:eastAsia="Times New Roman" w:hAnsi="Times New Roman"/>
          <w:sz w:val="18"/>
          <w:szCs w:val="18"/>
          <w:color w:val="auto"/>
        </w:rPr>
        <w:t>”) between the Company and Computershare Trust Company, N.A. and Computershare Inc. (jointly, the “</w:t>
      </w:r>
      <w:r>
        <w:rPr>
          <w:rFonts w:ascii="Times New Roman" w:cs="Times New Roman" w:eastAsia="Times New Roman" w:hAnsi="Times New Roman"/>
          <w:sz w:val="18"/>
          <w:szCs w:val="18"/>
          <w:b w:val="1"/>
          <w:bCs w:val="1"/>
          <w:color w:val="auto"/>
        </w:rPr>
        <w:t>Warrant Agent</w:t>
      </w:r>
      <w:r>
        <w:rPr>
          <w:rFonts w:ascii="Times New Roman" w:cs="Times New Roman" w:eastAsia="Times New Roman" w:hAnsi="Times New Roman"/>
          <w:sz w:val="18"/>
          <w:szCs w:val="18"/>
          <w:color w:val="auto"/>
        </w:rPr>
        <w:t>”), which Warrant Agency Agreement is hereby incorporated by reference in and made a part of this Warrant Certificate. A copy of the Warrant Agency Agreement is available for inspection during business hours at the office of the Warrant Agent. Defined terms used in this Warrant Certificate but not defined herein shall have the meanings given to them in the Warrant Agency Agreement. In the event of any discrepancy or inconsistency between the terms and conditions of the Warrant Agency Agreement, the terms and conditions of the Warrant Certificate shall prevail, govern and control; provided that the terms of the Warrant Agency Agreement control and supersede any provision in the Warrant Certificate concerning the duties, liabilities, obligations and immunities of the Warrant Agent.</w:t>
      </w:r>
    </w:p>
    <w:p>
      <w:pPr>
        <w:spacing w:after="0" w:line="187" w:lineRule="exact"/>
        <w:rPr>
          <w:sz w:val="20"/>
          <w:szCs w:val="20"/>
          <w:color w:val="auto"/>
        </w:rPr>
      </w:pPr>
    </w:p>
    <w:p>
      <w:pPr>
        <w:ind w:right="320" w:firstLine="440"/>
        <w:spacing w:after="0" w:line="260" w:lineRule="auto"/>
        <w:rPr>
          <w:sz w:val="20"/>
          <w:szCs w:val="20"/>
          <w:color w:val="auto"/>
        </w:rPr>
      </w:pPr>
      <w:r>
        <w:rPr>
          <w:rFonts w:ascii="Times New Roman" w:cs="Times New Roman" w:eastAsia="Times New Roman" w:hAnsi="Times New Roman"/>
          <w:sz w:val="18"/>
          <w:szCs w:val="18"/>
          <w:color w:val="auto"/>
        </w:rPr>
        <w:t>The Company and the Warrant Agent may deem and treat the registered Holder(s) hereof as the absolute owner(s) of this Warrant Certificate (notwithstanding any notation of ownership or other writing hereon made by anyone), for the purpose of any exercise hereof, of any distribution to the holder(s) hereof, and for all other purposes, and neither the Company nor the Warrant Agent shall be affected by any notice to the contrary. Neither the Warrants nor this Warrant Certificate entitles any holder hereof to any rights of a holder of Common Stock of the Company.</w:t>
      </w:r>
    </w:p>
    <w:p>
      <w:pPr>
        <w:spacing w:after="0" w:line="181" w:lineRule="exact"/>
        <w:rPr>
          <w:sz w:val="20"/>
          <w:szCs w:val="20"/>
          <w:color w:val="auto"/>
        </w:rPr>
      </w:pPr>
    </w:p>
    <w:p>
      <w:pPr>
        <w:ind w:right="420" w:firstLine="440"/>
        <w:spacing w:after="0" w:line="281" w:lineRule="auto"/>
        <w:rPr>
          <w:sz w:val="20"/>
          <w:szCs w:val="20"/>
          <w:color w:val="auto"/>
        </w:rPr>
      </w:pPr>
      <w:r>
        <w:rPr>
          <w:rFonts w:ascii="Times New Roman" w:cs="Times New Roman" w:eastAsia="Times New Roman" w:hAnsi="Times New Roman"/>
          <w:sz w:val="18"/>
          <w:szCs w:val="18"/>
          <w:color w:val="auto"/>
        </w:rPr>
        <w:t>This Warrant Certificate shall not be valid or obligatory for any purpose until it shall have been countersigned by an authorized signatory of the Warrant Agent.</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160"/>
          </w:cols>
          <w:pgMar w:left="320" w:top="898" w:right="419" w:bottom="1440" w:gutter="0" w:footer="0" w:header="0"/>
          <w:type w:val="continuous"/>
        </w:sectPr>
      </w:pPr>
    </w:p>
    <w:bookmarkStart w:id="151" w:name="page152"/>
    <w:bookmarkEnd w:id="151"/>
    <w:p>
      <w:pPr>
        <w:ind w:left="440"/>
        <w:spacing w:after="0"/>
        <w:rPr>
          <w:sz w:val="20"/>
          <w:szCs w:val="20"/>
          <w:color w:val="auto"/>
        </w:rPr>
      </w:pPr>
      <w:r>
        <w:rPr>
          <w:rFonts w:ascii="Times New Roman" w:cs="Times New Roman" w:eastAsia="Times New Roman" w:hAnsi="Times New Roman"/>
          <w:sz w:val="17"/>
          <w:szCs w:val="17"/>
          <w:color w:val="auto"/>
        </w:rPr>
        <w:t>IN WITNESS WHEREOF, the parties hereto have caused this Warrant Certificate to be duly executed as of the date first written above.</w:t>
      </w:r>
    </w:p>
    <w:p>
      <w:pPr>
        <w:spacing w:after="0" w:line="2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22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17145</wp:posOffset>
            </wp:positionV>
            <wp:extent cx="24885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2">
                      <a:extLst>
                        <a:ext uri="{28A0092B-C50C-407E-A947-70E740481C1C}"/>
                      </a:extLst>
                    </a:blip>
                    <a:srcRect/>
                    <a:stretch>
                      <a:fillRect/>
                    </a:stretch>
                  </pic:blipFill>
                  <pic:spPr bwMode="auto">
                    <a:xfrm>
                      <a:off x="0" y="0"/>
                      <a:ext cx="2488565"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Joel Latham</w:t>
      </w:r>
    </w:p>
    <w:p>
      <w:pPr>
        <w:spacing w:after="0" w:line="3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President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Countersigned: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COMPUTERSHARE INC. and COMPUTERSHARE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 COMPANY, 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jointly as Warrant Agent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17145</wp:posOffset>
            </wp:positionV>
            <wp:extent cx="2633980"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3">
                      <a:extLst>
                        <a:ext uri="{28A0092B-C50C-407E-A947-70E740481C1C}"/>
                      </a:extLst>
                    </a:blip>
                    <a:srcRect/>
                    <a:stretch>
                      <a:fillRect/>
                    </a:stretch>
                  </pic:blipFill>
                  <pic:spPr bwMode="auto">
                    <a:xfrm>
                      <a:off x="0" y="0"/>
                      <a:ext cx="2633980" cy="17145"/>
                    </a:xfrm>
                    <a:prstGeom prst="rect">
                      <a:avLst/>
                    </a:prstGeom>
                    <a:noFill/>
                  </pic:spPr>
                </pic:pic>
              </a:graphicData>
            </a:graphic>
          </wp:anchor>
        </w:drawing>
      </w:r>
    </w:p>
    <w:p>
      <w:pPr>
        <w:spacing w:after="0" w:line="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180"/>
          </w:cols>
          <w:pgMar w:left="320" w:top="902" w:right="1399" w:bottom="1440" w:gutter="0" w:footer="0" w:header="0"/>
        </w:sectPr>
      </w:pPr>
    </w:p>
    <w:bookmarkStart w:id="152" w:name="page153"/>
    <w:bookmarkEnd w:id="152"/>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Exercise Notice to Warrant Certificate No. A-[●] (the “Warrant”)</w:t>
      </w:r>
    </w:p>
    <w:p>
      <w:pPr>
        <w:spacing w:after="0" w:line="2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To be executed by the Registered Holder to Exercise this Warrant to purchase Common Stock of</w:t>
      </w:r>
    </w:p>
    <w:p>
      <w:pPr>
        <w:spacing w:after="0" w:line="2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holder hereby exercises the right to purchase _________________ shares of common stock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Incannex Healthcare</w:t>
      </w:r>
    </w:p>
    <w:p>
      <w:pPr>
        <w:spacing w:after="0" w:line="31"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18"/>
          <w:szCs w:val="18"/>
          <w:color w:val="auto"/>
        </w:rPr>
        <w:t xml:space="preserve">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under the Warrant. Capitalized terms used herein and not otherwise defined shall have the respective meanings set forth in the Warrant Agent Agreement.</w:t>
      </w:r>
    </w:p>
    <w:p>
      <w:pPr>
        <w:spacing w:after="0" w:line="177" w:lineRule="exact"/>
        <w:rPr>
          <w:sz w:val="20"/>
          <w:szCs w:val="20"/>
          <w:color w:val="auto"/>
        </w:rPr>
      </w:pPr>
    </w:p>
    <w:p>
      <w:pPr>
        <w:ind w:left="180" w:hanging="172"/>
        <w:spacing w:after="0"/>
        <w:tabs>
          <w:tab w:leader="none" w:pos="18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Form of Exercise Price</w:t>
      </w:r>
      <w:r>
        <w:rPr>
          <w:rFonts w:ascii="Times New Roman" w:cs="Times New Roman" w:eastAsia="Times New Roman" w:hAnsi="Times New Roman"/>
          <w:sz w:val="18"/>
          <w:szCs w:val="18"/>
          <w:color w:val="auto"/>
        </w:rPr>
        <w:t>. The Holder intends that payment of the Exercise Price shall be made as:</w:t>
      </w:r>
    </w:p>
    <w:p>
      <w:pPr>
        <w:spacing w:after="0" w:line="223" w:lineRule="exact"/>
        <w:rPr>
          <w:rFonts w:ascii="Times New Roman" w:cs="Times New Roman" w:eastAsia="Times New Roman" w:hAnsi="Times New Roman"/>
          <w:sz w:val="18"/>
          <w:szCs w:val="18"/>
          <w:color w:val="auto"/>
        </w:rPr>
      </w:pPr>
    </w:p>
    <w:p>
      <w:pPr>
        <w:ind w:left="740" w:hanging="638"/>
        <w:spacing w:after="0"/>
        <w:tabs>
          <w:tab w:leader="none" w:pos="74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auto"/>
        </w:rPr>
        <w:t>Cash Exercise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with respect to _________________ Common Stock; and/or</w:t>
      </w:r>
    </w:p>
    <w:p>
      <w:pPr>
        <w:spacing w:after="0" w:line="228" w:lineRule="exact"/>
        <w:rPr>
          <w:rFonts w:ascii="Times New Roman" w:cs="Times New Roman" w:eastAsia="Times New Roman" w:hAnsi="Times New Roman"/>
          <w:sz w:val="18"/>
          <w:szCs w:val="18"/>
          <w:color w:val="auto"/>
        </w:rPr>
      </w:pPr>
    </w:p>
    <w:p>
      <w:pPr>
        <w:ind w:left="740" w:hanging="638"/>
        <w:spacing w:after="0"/>
        <w:tabs>
          <w:tab w:leader="none" w:pos="74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with respect to _______________ Common Stock.</w:t>
      </w:r>
    </w:p>
    <w:p>
      <w:pPr>
        <w:spacing w:after="0" w:line="220" w:lineRule="exact"/>
        <w:rPr>
          <w:rFonts w:ascii="Times New Roman" w:cs="Times New Roman" w:eastAsia="Times New Roman" w:hAnsi="Times New Roman"/>
          <w:sz w:val="18"/>
          <w:szCs w:val="18"/>
          <w:color w:val="auto"/>
        </w:rPr>
      </w:pPr>
    </w:p>
    <w:p>
      <w:pPr>
        <w:ind w:firstLine="8"/>
        <w:spacing w:after="0" w:line="258" w:lineRule="auto"/>
        <w:tabs>
          <w:tab w:leader="none" w:pos="17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of Exercise Price</w:t>
      </w:r>
      <w:r>
        <w:rPr>
          <w:rFonts w:ascii="Times New Roman" w:cs="Times New Roman" w:eastAsia="Times New Roman" w:hAnsi="Times New Roman"/>
          <w:sz w:val="18"/>
          <w:szCs w:val="18"/>
          <w:color w:val="auto"/>
        </w:rPr>
        <w:t>. In the event that the holder has elected a Cash Exercise with respect to some or all of the Common Stock to be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hereto, the holder shall pay the Exercise Price in the sum of US$___________________ to the Company in accordance with the terms of the Warrant and the Warrant Agent Agreement and according to the wire details provided by the Warrant Agent upon request. To request wire instructions, please contact the Warrant Agent via email at Web.Queries@computershare.com or phone at 1-800-546-5141 if calling from within the United States or at +1 781-575-2765 if calling from outside the United States.</w:t>
      </w:r>
    </w:p>
    <w:p>
      <w:pPr>
        <w:spacing w:after="0" w:line="180" w:lineRule="exact"/>
        <w:rPr>
          <w:rFonts w:ascii="Times New Roman" w:cs="Times New Roman" w:eastAsia="Times New Roman" w:hAnsi="Times New Roman"/>
          <w:sz w:val="18"/>
          <w:szCs w:val="18"/>
          <w:color w:val="auto"/>
        </w:rPr>
      </w:pPr>
    </w:p>
    <w:p>
      <w:pPr>
        <w:jc w:val="both"/>
        <w:ind w:right="20" w:firstLine="8"/>
        <w:spacing w:after="0" w:line="267" w:lineRule="auto"/>
        <w:tabs>
          <w:tab w:leader="none" w:pos="17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Delivery of Warrant Shares</w:t>
      </w:r>
      <w:r>
        <w:rPr>
          <w:rFonts w:ascii="Times New Roman" w:cs="Times New Roman" w:eastAsia="Times New Roman" w:hAnsi="Times New Roman"/>
          <w:sz w:val="18"/>
          <w:szCs w:val="18"/>
          <w:color w:val="auto"/>
        </w:rPr>
        <w:t>. The Company shall deliver to the Holder __________ Warrant Shares in accordance with the terms of the Warrant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after delivery of such Warrant Shares, _____________ Warrant Shares remain subject to the Warrant. Delivery of Warrant Shares shall be made to Holder, or for its benefit, to the registered account which held the Warrant.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 of the holder of the Warrant: _________________________________</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Signature:_________________________________</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 of signatory and title if the investor is a legal entity: _________________________________</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_________________________________</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_______________________________________________________________________</w:t>
      </w:r>
    </w:p>
    <w:p>
      <w:pPr>
        <w:spacing w:after="0" w:line="200" w:lineRule="exact"/>
        <w:rPr>
          <w:sz w:val="20"/>
          <w:szCs w:val="20"/>
          <w:color w:val="auto"/>
        </w:rPr>
      </w:pPr>
    </w:p>
    <w:p>
      <w:pPr>
        <w:spacing w:after="0" w:line="2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100"/>
          </w:cols>
          <w:pgMar w:left="320" w:top="899" w:right="479" w:bottom="1440" w:gutter="0" w:footer="0" w:header="0"/>
        </w:sectPr>
      </w:pPr>
    </w:p>
    <w:bookmarkStart w:id="153" w:name="page154"/>
    <w:bookmarkEnd w:id="153"/>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(To assign the foregoing warrant, execute</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this form and supply required information.</w:t>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Do not use this form to exercise the warrant.)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the undersigned registered holder hereby sells, assigns and transfers unto</w:t>
      </w:r>
    </w:p>
    <w:p>
      <w:pPr>
        <w:spacing w:after="0" w:line="22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Name of Assignee</w:t>
      </w:r>
    </w:p>
    <w:p>
      <w:pPr>
        <w:spacing w:after="0" w:line="206"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Mailing Address and E-Mail Address of Assignee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 Warrants to purchase shares of common stock of Incannex Healthcare Inc., a Delaware corporation, evidenced by the attached Warrant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held by the undersigned, together with all right, title and interest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3295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2600"/>
        <w:spacing w:after="0"/>
        <w:tabs>
          <w:tab w:leader="none" w:pos="73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Signature of Registered Holder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Information of Registered Holder: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1792605</wp:posOffset>
            </wp:positionH>
            <wp:positionV relativeFrom="paragraph">
              <wp:posOffset>17145</wp:posOffset>
            </wp:positionV>
            <wp:extent cx="356616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1792605</wp:posOffset>
            </wp:positionH>
            <wp:positionV relativeFrom="paragraph">
              <wp:posOffset>-127635</wp:posOffset>
            </wp:positionV>
            <wp:extent cx="356616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1792605</wp:posOffset>
            </wp:positionH>
            <wp:positionV relativeFrom="paragraph">
              <wp:posOffset>25400</wp:posOffset>
            </wp:positionV>
            <wp:extent cx="356616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9">
                      <a:extLst>
                        <a:ext uri="{28A0092B-C50C-407E-A947-70E740481C1C}"/>
                      </a:extLst>
                    </a:blip>
                    <a:srcRect/>
                    <a:stretch>
                      <a:fillRect/>
                    </a:stretch>
                  </pic:blipFill>
                  <pic:spPr bwMode="auto">
                    <a:xfrm>
                      <a:off x="0" y="0"/>
                      <a:ext cx="3566160" cy="17145"/>
                    </a:xfrm>
                    <a:prstGeom prst="rect">
                      <a:avLst/>
                    </a:prstGeom>
                    <a:noFill/>
                  </pic:spPr>
                </pic:pic>
              </a:graphicData>
            </a:graphic>
          </wp:anchor>
        </w:drawing>
        <w:drawing>
          <wp:anchor simplePos="0" relativeHeight="251657728" behindDoc="1" locked="0" layoutInCell="0" allowOverlap="1">
            <wp:simplePos x="0" y="0"/>
            <wp:positionH relativeFrom="column">
              <wp:posOffset>1792605</wp:posOffset>
            </wp:positionH>
            <wp:positionV relativeFrom="paragraph">
              <wp:posOffset>-127635</wp:posOffset>
            </wp:positionV>
            <wp:extent cx="356616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Security or Other Taxpayer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Identification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2074545</wp:posOffset>
            </wp:positionH>
            <wp:positionV relativeFrom="paragraph">
              <wp:posOffset>-2540</wp:posOffset>
            </wp:positionV>
            <wp:extent cx="506285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1">
                      <a:extLst>
                        <a:ext uri="{28A0092B-C50C-407E-A947-70E740481C1C}"/>
                      </a:extLst>
                    </a:blip>
                    <a:srcRect/>
                    <a:stretch>
                      <a:fillRect/>
                    </a:stretch>
                  </pic:blipFill>
                  <pic:spPr bwMode="auto">
                    <a:xfrm>
                      <a:off x="0" y="0"/>
                      <a:ext cx="5062855" cy="1714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285623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2">
                      <a:extLst>
                        <a:ext uri="{28A0092B-C50C-407E-A947-70E740481C1C}"/>
                      </a:extLst>
                    </a:blip>
                    <a:srcRect/>
                    <a:stretch>
                      <a:fillRect/>
                    </a:stretch>
                  </pic:blipFill>
                  <pic:spPr bwMode="auto">
                    <a:xfrm>
                      <a:off x="0" y="0"/>
                      <a:ext cx="28562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Signatures must be guaranteed by a participant in the Securities Transfer Agent Medallion Program, the Stock Exchanges Medallion Program or the New York Stock Exchange, Inc. Medallion Signature Program.</w:t>
      </w:r>
    </w:p>
    <w:p>
      <w:pPr>
        <w:spacing w:after="0" w:line="37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020"/>
          </w:cols>
          <w:pgMar w:left="320" w:top="899" w:right="559" w:bottom="1440" w:gutter="0" w:footer="0" w:header="0"/>
        </w:sectPr>
      </w:pPr>
    </w:p>
    <w:bookmarkStart w:id="154" w:name="page155"/>
    <w:bookmarkEnd w:id="154"/>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[Form of Warrant]</w:t>
      </w:r>
    </w:p>
    <w:p>
      <w:pPr>
        <w:spacing w:after="0" w:line="224"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b w:val="1"/>
          <w:bCs w:val="1"/>
          <w:color w:val="auto"/>
        </w:rPr>
        <w:t>[UNLESS THIS CERTIFICATE IS PRESENTED BY AN AUTHORIZED REPRESENTATIVE OF THE HOLDER, TO THE ISSUER OR ITS AGENT FOR REGISTRATION OF TRANSFER, EXCHANGE, OR PAYMENT, ANY TRANSFER, PLEDGE OR OTHER USE HEREOF FOR VALUE OR OTHERWISE BY OR TO ANY PERSON IS WRONGFUL INASMUCH AS HOLDER HAS AN INTEREST HEREIN.]</w:t>
      </w:r>
    </w:p>
    <w:p>
      <w:pPr>
        <w:sectPr>
          <w:pgSz w:w="11900" w:h="16838" w:orient="portrait"/>
          <w:cols w:equalWidth="0" w:num="1">
            <w:col w:w="11160"/>
          </w:cols>
          <w:pgMar w:left="320" w:top="898" w:right="419" w:bottom="1440" w:gutter="0" w:footer="0" w:header="0"/>
        </w:sectPr>
      </w:pP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No.: 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Number of Warrants: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 Date: November 28, 2023</w:t>
      </w:r>
    </w:p>
    <w:p>
      <w:pPr>
        <w:spacing w:after="0" w:line="200" w:lineRule="exact"/>
        <w:rPr>
          <w:sz w:val="20"/>
          <w:szCs w:val="20"/>
          <w:color w:val="auto"/>
        </w:rPr>
      </w:pPr>
    </w:p>
    <w:p>
      <w:pPr>
        <w:sectPr>
          <w:pgSz w:w="11900" w:h="16838" w:orient="portrait"/>
          <w:cols w:equalWidth="0" w:num="2">
            <w:col w:w="4900" w:space="720"/>
            <w:col w:w="5540"/>
          </w:cols>
          <w:pgMar w:left="320" w:top="898" w:right="419" w:bottom="1440" w:gutter="0" w:footer="0" w:header="0"/>
          <w:type w:val="continuous"/>
        </w:sectPr>
      </w:pPr>
    </w:p>
    <w:p>
      <w:pPr>
        <w:spacing w:after="0" w:line="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2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WARRANT CERTIFICATE</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NOT EXERCISABLE AFTER AUGUST 4, 2025</w:t>
      </w:r>
    </w:p>
    <w:p>
      <w:pPr>
        <w:sectPr>
          <w:pgSz w:w="11900" w:h="16838" w:orient="portrait"/>
          <w:cols w:equalWidth="0" w:num="1">
            <w:col w:w="11160"/>
          </w:cols>
          <w:pgMar w:left="320" w:top="898" w:right="419" w:bottom="1440" w:gutter="0" w:footer="0" w:header="0"/>
          <w:type w:val="continuous"/>
        </w:sectPr>
      </w:pPr>
    </w:p>
    <w:p>
      <w:pPr>
        <w:spacing w:after="0" w:line="213"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This certifies that [●] (“Holder”), or its registered assigns, is the registered owner of the number of Warrants set forth above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Each Warrant entitles its registered holder to purchase from Incannex Healthcare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at any time prior to 5:00 P.M. (New York City time) on August 4, 2025, one share of common stock, par value $0.0001 per share, of the Company (each, a “</w:t>
      </w:r>
      <w:r>
        <w:rPr>
          <w:rFonts w:ascii="Times New Roman" w:cs="Times New Roman" w:eastAsia="Times New Roman" w:hAnsi="Times New Roman"/>
          <w:sz w:val="18"/>
          <w:szCs w:val="18"/>
          <w:b w:val="1"/>
          <w:bCs w:val="1"/>
          <w:color w:val="auto"/>
        </w:rPr>
        <w:t>Warrant Share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at an exercise price of $45.37 per Warrant Share, subject to possible adjustments as provided in the Warrant Agency Agreement (as defined below).</w:t>
      </w:r>
    </w:p>
    <w:p>
      <w:pPr>
        <w:spacing w:after="0" w:line="18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terms and conditions of the Warrants and the rights and obligations of the holder of this Warrant Certificate are set forth in the Warrant Agency Agreement, dated as of December 29, 2023 (the “</w:t>
      </w:r>
      <w:r>
        <w:rPr>
          <w:rFonts w:ascii="Times New Roman" w:cs="Times New Roman" w:eastAsia="Times New Roman" w:hAnsi="Times New Roman"/>
          <w:sz w:val="18"/>
          <w:szCs w:val="18"/>
          <w:b w:val="1"/>
          <w:bCs w:val="1"/>
          <w:color w:val="auto"/>
        </w:rPr>
        <w:t>Warrant Agency Agreement</w:t>
      </w:r>
      <w:r>
        <w:rPr>
          <w:rFonts w:ascii="Times New Roman" w:cs="Times New Roman" w:eastAsia="Times New Roman" w:hAnsi="Times New Roman"/>
          <w:sz w:val="18"/>
          <w:szCs w:val="18"/>
          <w:color w:val="auto"/>
        </w:rPr>
        <w:t>”) between the Company and Computershare Trust Company, N.A. and Computershare Inc. (jointly, the “</w:t>
      </w:r>
      <w:r>
        <w:rPr>
          <w:rFonts w:ascii="Times New Roman" w:cs="Times New Roman" w:eastAsia="Times New Roman" w:hAnsi="Times New Roman"/>
          <w:sz w:val="18"/>
          <w:szCs w:val="18"/>
          <w:b w:val="1"/>
          <w:bCs w:val="1"/>
          <w:color w:val="auto"/>
        </w:rPr>
        <w:t>Warrant Agent</w:t>
      </w:r>
      <w:r>
        <w:rPr>
          <w:rFonts w:ascii="Times New Roman" w:cs="Times New Roman" w:eastAsia="Times New Roman" w:hAnsi="Times New Roman"/>
          <w:sz w:val="18"/>
          <w:szCs w:val="18"/>
          <w:color w:val="auto"/>
        </w:rPr>
        <w:t>”), which Warrant Agency Agreement is hereby incorporated by reference in and made a part of this Warrant Certificate. A copy of the Warrant Agency Agreement is available for inspection during business hours at the office of the Warrant Agent. Defined terms used in this Warrant Certificate but not defined herein shall have the meanings given to them in the Warrant Agency Agreement. In the event of any discrepancy or inconsistency between the terms and conditions of the Warrant Agency Agreement, the terms and conditions of the Warrant Certificate shall prevail, govern and control; provided that the terms of the Warrant Agency Agreement control and supersede any provision in the Warrant Certificate concerning the duties, liabilities, obligations and immunities of the Warrant Agent.</w:t>
      </w:r>
    </w:p>
    <w:p>
      <w:pPr>
        <w:spacing w:after="0" w:line="187" w:lineRule="exact"/>
        <w:rPr>
          <w:sz w:val="20"/>
          <w:szCs w:val="20"/>
          <w:color w:val="auto"/>
        </w:rPr>
      </w:pPr>
    </w:p>
    <w:p>
      <w:pPr>
        <w:ind w:right="320" w:firstLine="440"/>
        <w:spacing w:after="0" w:line="260" w:lineRule="auto"/>
        <w:rPr>
          <w:sz w:val="20"/>
          <w:szCs w:val="20"/>
          <w:color w:val="auto"/>
        </w:rPr>
      </w:pPr>
      <w:r>
        <w:rPr>
          <w:rFonts w:ascii="Times New Roman" w:cs="Times New Roman" w:eastAsia="Times New Roman" w:hAnsi="Times New Roman"/>
          <w:sz w:val="18"/>
          <w:szCs w:val="18"/>
          <w:color w:val="auto"/>
        </w:rPr>
        <w:t>The Company and the Warrant Agent may deem and treat the registered Holder(s) hereof as the absolute owner(s) of this Warrant Certificate (notwithstanding any notation of ownership or other writing hereon made by anyone), for the purpose of any exercise hereof, of any distribution to the holder(s) hereof, and for all other purposes, and neither the Company nor the Warrant Agent shall be affected by any notice to the contrary. Neither the Warrants nor this Warrant Certificate entitles any holder hereof to any rights of a holder of Common Stock of the Company.</w:t>
      </w:r>
    </w:p>
    <w:p>
      <w:pPr>
        <w:spacing w:after="0" w:line="181" w:lineRule="exact"/>
        <w:rPr>
          <w:sz w:val="20"/>
          <w:szCs w:val="20"/>
          <w:color w:val="auto"/>
        </w:rPr>
      </w:pPr>
    </w:p>
    <w:p>
      <w:pPr>
        <w:ind w:right="420" w:firstLine="440"/>
        <w:spacing w:after="0" w:line="281" w:lineRule="auto"/>
        <w:rPr>
          <w:sz w:val="20"/>
          <w:szCs w:val="20"/>
          <w:color w:val="auto"/>
        </w:rPr>
      </w:pPr>
      <w:r>
        <w:rPr>
          <w:rFonts w:ascii="Times New Roman" w:cs="Times New Roman" w:eastAsia="Times New Roman" w:hAnsi="Times New Roman"/>
          <w:sz w:val="18"/>
          <w:szCs w:val="18"/>
          <w:color w:val="auto"/>
        </w:rPr>
        <w:t>This Warrant Certificate shall not be valid or obligatory for any purpose until it shall have been countersigned by an authorized signatory of the Warrant Agent.</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160"/>
          </w:cols>
          <w:pgMar w:left="320" w:top="898" w:right="419" w:bottom="1440" w:gutter="0" w:footer="0" w:header="0"/>
          <w:type w:val="continuous"/>
        </w:sectPr>
      </w:pPr>
    </w:p>
    <w:bookmarkStart w:id="155" w:name="page156"/>
    <w:bookmarkEnd w:id="155"/>
    <w:p>
      <w:pPr>
        <w:ind w:left="440"/>
        <w:spacing w:after="0"/>
        <w:rPr>
          <w:sz w:val="20"/>
          <w:szCs w:val="20"/>
          <w:color w:val="auto"/>
        </w:rPr>
      </w:pPr>
      <w:r>
        <w:rPr>
          <w:rFonts w:ascii="Times New Roman" w:cs="Times New Roman" w:eastAsia="Times New Roman" w:hAnsi="Times New Roman"/>
          <w:sz w:val="17"/>
          <w:szCs w:val="17"/>
          <w:color w:val="auto"/>
        </w:rPr>
        <w:t>IN WITNESS WHEREOF, the parties hereto have caused this Warrant Certificate to be duly executed as of the date first written above.</w:t>
      </w:r>
    </w:p>
    <w:p>
      <w:pPr>
        <w:spacing w:after="0" w:line="23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22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17145</wp:posOffset>
            </wp:positionV>
            <wp:extent cx="248856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5">
                      <a:extLst>
                        <a:ext uri="{28A0092B-C50C-407E-A947-70E740481C1C}"/>
                      </a:extLst>
                    </a:blip>
                    <a:srcRect/>
                    <a:stretch>
                      <a:fillRect/>
                    </a:stretch>
                  </pic:blipFill>
                  <pic:spPr bwMode="auto">
                    <a:xfrm>
                      <a:off x="0" y="0"/>
                      <a:ext cx="2488565"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Joel Latham</w:t>
      </w:r>
    </w:p>
    <w:p>
      <w:pPr>
        <w:spacing w:after="0" w:line="3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President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Countersigned: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COMPUTERSHARE INC. and COMPUTERSHARE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 COMPANY, 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jointly as Warrant Agent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17145</wp:posOffset>
            </wp:positionV>
            <wp:extent cx="263398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6">
                      <a:extLst>
                        <a:ext uri="{28A0092B-C50C-407E-A947-70E740481C1C}"/>
                      </a:extLst>
                    </a:blip>
                    <a:srcRect/>
                    <a:stretch>
                      <a:fillRect/>
                    </a:stretch>
                  </pic:blipFill>
                  <pic:spPr bwMode="auto">
                    <a:xfrm>
                      <a:off x="0" y="0"/>
                      <a:ext cx="2633980" cy="17145"/>
                    </a:xfrm>
                    <a:prstGeom prst="rect">
                      <a:avLst/>
                    </a:prstGeom>
                    <a:noFill/>
                  </pic:spPr>
                </pic:pic>
              </a:graphicData>
            </a:graphic>
          </wp:anchor>
        </w:drawing>
      </w:r>
    </w:p>
    <w:p>
      <w:pPr>
        <w:spacing w:after="0" w:line="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180"/>
          </w:cols>
          <w:pgMar w:left="320" w:top="902" w:right="1399" w:bottom="1440" w:gutter="0" w:footer="0" w:header="0"/>
        </w:sectPr>
      </w:pPr>
    </w:p>
    <w:bookmarkStart w:id="156" w:name="page157"/>
    <w:bookmarkEnd w:id="156"/>
    <w:p>
      <w:pPr>
        <w:jc w:val="center"/>
        <w:ind w:left="420" w:right="1820"/>
        <w:spacing w:after="0" w:line="267" w:lineRule="auto"/>
        <w:rPr>
          <w:sz w:val="20"/>
          <w:szCs w:val="20"/>
          <w:color w:val="auto"/>
        </w:rPr>
      </w:pPr>
      <w:r>
        <w:rPr>
          <w:rFonts w:ascii="Times New Roman" w:cs="Times New Roman" w:eastAsia="Times New Roman" w:hAnsi="Times New Roman"/>
          <w:sz w:val="18"/>
          <w:szCs w:val="18"/>
          <w:b w:val="1"/>
          <w:bCs w:val="1"/>
          <w:color w:val="auto"/>
        </w:rPr>
        <w:t>Exercise Notice to Warrant Certificate No. B-[●] (the “Warrant”) To be executed by the Registered Holder to Exercise this Warrant to purchase Common Stock of Incannex Healthcare Inc.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holder hereby exercises the right to purchase _________________ shares of common stock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Incannex Healthcare</w:t>
      </w:r>
    </w:p>
    <w:p>
      <w:pPr>
        <w:spacing w:after="0" w:line="31"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18"/>
          <w:szCs w:val="18"/>
          <w:color w:val="auto"/>
        </w:rPr>
        <w:t xml:space="preserve">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under the Warrant. Capitalized terms used herein and not otherwise defined shall have the respective meanings set forth in the Warrant Agent Agreement.</w:t>
      </w:r>
    </w:p>
    <w:p>
      <w:pPr>
        <w:spacing w:after="0" w:line="177" w:lineRule="exact"/>
        <w:rPr>
          <w:sz w:val="20"/>
          <w:szCs w:val="20"/>
          <w:color w:val="auto"/>
        </w:rPr>
      </w:pPr>
    </w:p>
    <w:p>
      <w:pPr>
        <w:ind w:left="180" w:hanging="172"/>
        <w:spacing w:after="0"/>
        <w:tabs>
          <w:tab w:leader="none" w:pos="18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Form of Exercise Price</w:t>
      </w:r>
      <w:r>
        <w:rPr>
          <w:rFonts w:ascii="Times New Roman" w:cs="Times New Roman" w:eastAsia="Times New Roman" w:hAnsi="Times New Roman"/>
          <w:sz w:val="18"/>
          <w:szCs w:val="18"/>
          <w:color w:val="auto"/>
        </w:rPr>
        <w:t>. The Holder intends that payment of the Exercise Price shall be made as:</w:t>
      </w:r>
    </w:p>
    <w:p>
      <w:pPr>
        <w:spacing w:after="0" w:line="223" w:lineRule="exact"/>
        <w:rPr>
          <w:rFonts w:ascii="Times New Roman" w:cs="Times New Roman" w:eastAsia="Times New Roman" w:hAnsi="Times New Roman"/>
          <w:sz w:val="18"/>
          <w:szCs w:val="18"/>
          <w:color w:val="auto"/>
        </w:rPr>
      </w:pPr>
    </w:p>
    <w:p>
      <w:pPr>
        <w:ind w:left="740" w:hanging="638"/>
        <w:spacing w:after="0"/>
        <w:tabs>
          <w:tab w:leader="none" w:pos="7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auto"/>
        </w:rPr>
        <w:t>Cash Exercise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with respect to _________________ Common Stock; and/or</w:t>
      </w:r>
    </w:p>
    <w:p>
      <w:pPr>
        <w:spacing w:after="0" w:line="228" w:lineRule="exact"/>
        <w:rPr>
          <w:rFonts w:ascii="Times New Roman" w:cs="Times New Roman" w:eastAsia="Times New Roman" w:hAnsi="Times New Roman"/>
          <w:sz w:val="18"/>
          <w:szCs w:val="18"/>
          <w:color w:val="auto"/>
        </w:rPr>
      </w:pPr>
    </w:p>
    <w:p>
      <w:pPr>
        <w:ind w:left="740" w:hanging="638"/>
        <w:spacing w:after="0"/>
        <w:tabs>
          <w:tab w:leader="none" w:pos="740"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with respect to _______________ Common Stock.</w:t>
      </w:r>
    </w:p>
    <w:p>
      <w:pPr>
        <w:spacing w:after="0" w:line="220" w:lineRule="exact"/>
        <w:rPr>
          <w:rFonts w:ascii="Times New Roman" w:cs="Times New Roman" w:eastAsia="Times New Roman" w:hAnsi="Times New Roman"/>
          <w:sz w:val="18"/>
          <w:szCs w:val="18"/>
          <w:color w:val="auto"/>
        </w:rPr>
      </w:pPr>
    </w:p>
    <w:p>
      <w:pPr>
        <w:ind w:firstLine="8"/>
        <w:spacing w:after="0" w:line="258" w:lineRule="auto"/>
        <w:tabs>
          <w:tab w:leader="none" w:pos="17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of Exercise Price</w:t>
      </w:r>
      <w:r>
        <w:rPr>
          <w:rFonts w:ascii="Times New Roman" w:cs="Times New Roman" w:eastAsia="Times New Roman" w:hAnsi="Times New Roman"/>
          <w:sz w:val="18"/>
          <w:szCs w:val="18"/>
          <w:color w:val="auto"/>
        </w:rPr>
        <w:t>. In the event that the holder has elected a Cash Exercise with respect to some or all of the Common Stock to be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hereto, the holder shall pay the Exercise Price in the sum of US$___________________ to the Company in accordance with the terms of the Warrant and the Warrant Agent Agreement and according to the wire details provided by the Warrant Agent upon request. To request wire instructions, please contact the Warrant Agent via email at Web.Queries@computershare.com or phone at 1-800-546-5141 if calling from within the United States or at +1 781-575-2765 if calling from outside the United States.</w:t>
      </w:r>
    </w:p>
    <w:p>
      <w:pPr>
        <w:spacing w:after="0" w:line="180" w:lineRule="exact"/>
        <w:rPr>
          <w:rFonts w:ascii="Times New Roman" w:cs="Times New Roman" w:eastAsia="Times New Roman" w:hAnsi="Times New Roman"/>
          <w:sz w:val="18"/>
          <w:szCs w:val="18"/>
          <w:color w:val="auto"/>
        </w:rPr>
      </w:pPr>
    </w:p>
    <w:p>
      <w:pPr>
        <w:jc w:val="both"/>
        <w:ind w:right="20" w:firstLine="8"/>
        <w:spacing w:after="0" w:line="267" w:lineRule="auto"/>
        <w:tabs>
          <w:tab w:leader="none" w:pos="17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Delivery of Warrant Shares</w:t>
      </w:r>
      <w:r>
        <w:rPr>
          <w:rFonts w:ascii="Times New Roman" w:cs="Times New Roman" w:eastAsia="Times New Roman" w:hAnsi="Times New Roman"/>
          <w:sz w:val="18"/>
          <w:szCs w:val="18"/>
          <w:color w:val="auto"/>
        </w:rPr>
        <w:t>. The Company shall deliver to the Holder __________ Warrant Shares in accordance with the terms of the Warrant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after delivery of such Warrant Shares, _____________ Warrant Shares remain subject to the Warrant. Delivery of Warrant Shares shall be made to Holder, or for its benefit, to the registered account which held the Warrant.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 of the holder of the Warrant: ________________________________</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________________________________</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 of signatory and title if the investor is a legal entity: _________________________________</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Date:_____________________________________</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_______________________________________________________________________</w:t>
      </w:r>
    </w:p>
    <w:p>
      <w:pPr>
        <w:spacing w:after="0" w:line="200" w:lineRule="exact"/>
        <w:rPr>
          <w:sz w:val="20"/>
          <w:szCs w:val="20"/>
          <w:color w:val="auto"/>
        </w:rPr>
      </w:pPr>
    </w:p>
    <w:p>
      <w:pPr>
        <w:spacing w:after="0" w:line="2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100"/>
          </w:cols>
          <w:pgMar w:left="320" w:top="898" w:right="479" w:bottom="1440" w:gutter="0" w:footer="0" w:header="0"/>
        </w:sectPr>
      </w:pPr>
    </w:p>
    <w:bookmarkStart w:id="157" w:name="page158"/>
    <w:bookmarkEnd w:id="157"/>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(To assign the foregoing warrant, execute</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this form and supply required information.</w:t>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Do not use this form to exercise the warrant.)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the undersigned registered holder hereby sells, assigns and transfers unto</w:t>
      </w:r>
    </w:p>
    <w:p>
      <w:pPr>
        <w:spacing w:after="0" w:line="22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Name of Assignee</w:t>
      </w:r>
    </w:p>
    <w:p>
      <w:pPr>
        <w:spacing w:after="0" w:line="206"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Mailing Address and E-Mail Address of Assignee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 Warrants to purchase shares of common stock of Incannex Healthcare Inc., a Delaware corporation, evidenced by the attached Warrant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held by the undersigned, together with all right, title and interest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3295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2600"/>
        <w:spacing w:after="0"/>
        <w:tabs>
          <w:tab w:leader="none" w:pos="73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Signature of Registered Holder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Information of Registered Holder: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1792605</wp:posOffset>
            </wp:positionH>
            <wp:positionV relativeFrom="paragraph">
              <wp:posOffset>17145</wp:posOffset>
            </wp:positionV>
            <wp:extent cx="356616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1792605</wp:posOffset>
            </wp:positionH>
            <wp:positionV relativeFrom="paragraph">
              <wp:posOffset>-127635</wp:posOffset>
            </wp:positionV>
            <wp:extent cx="356616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1792605</wp:posOffset>
            </wp:positionH>
            <wp:positionV relativeFrom="paragraph">
              <wp:posOffset>25400</wp:posOffset>
            </wp:positionV>
            <wp:extent cx="356616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2">
                      <a:extLst>
                        <a:ext uri="{28A0092B-C50C-407E-A947-70E740481C1C}"/>
                      </a:extLst>
                    </a:blip>
                    <a:srcRect/>
                    <a:stretch>
                      <a:fillRect/>
                    </a:stretch>
                  </pic:blipFill>
                  <pic:spPr bwMode="auto">
                    <a:xfrm>
                      <a:off x="0" y="0"/>
                      <a:ext cx="3566160" cy="17145"/>
                    </a:xfrm>
                    <a:prstGeom prst="rect">
                      <a:avLst/>
                    </a:prstGeom>
                    <a:noFill/>
                  </pic:spPr>
                </pic:pic>
              </a:graphicData>
            </a:graphic>
          </wp:anchor>
        </w:drawing>
        <w:drawing>
          <wp:anchor simplePos="0" relativeHeight="251657728" behindDoc="1" locked="0" layoutInCell="0" allowOverlap="1">
            <wp:simplePos x="0" y="0"/>
            <wp:positionH relativeFrom="column">
              <wp:posOffset>1792605</wp:posOffset>
            </wp:positionH>
            <wp:positionV relativeFrom="paragraph">
              <wp:posOffset>-127635</wp:posOffset>
            </wp:positionV>
            <wp:extent cx="356616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Security or Other Taxpayer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Identification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2074545</wp:posOffset>
            </wp:positionH>
            <wp:positionV relativeFrom="paragraph">
              <wp:posOffset>-2540</wp:posOffset>
            </wp:positionV>
            <wp:extent cx="506285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4">
                      <a:extLst>
                        <a:ext uri="{28A0092B-C50C-407E-A947-70E740481C1C}"/>
                      </a:extLst>
                    </a:blip>
                    <a:srcRect/>
                    <a:stretch>
                      <a:fillRect/>
                    </a:stretch>
                  </pic:blipFill>
                  <pic:spPr bwMode="auto">
                    <a:xfrm>
                      <a:off x="0" y="0"/>
                      <a:ext cx="5062855" cy="1714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285623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5">
                      <a:extLst>
                        <a:ext uri="{28A0092B-C50C-407E-A947-70E740481C1C}"/>
                      </a:extLst>
                    </a:blip>
                    <a:srcRect/>
                    <a:stretch>
                      <a:fillRect/>
                    </a:stretch>
                  </pic:blipFill>
                  <pic:spPr bwMode="auto">
                    <a:xfrm>
                      <a:off x="0" y="0"/>
                      <a:ext cx="28562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Signatures must be guaranteed by a participant in the Securities Transfer Agent Medallion Program, the Stock Exchanges Medallion Program or the New York Stock Exchange, Inc. Medallion Signature Program.</w:t>
      </w:r>
    </w:p>
    <w:p>
      <w:pPr>
        <w:spacing w:after="0" w:line="37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020"/>
          </w:cols>
          <w:pgMar w:left="320" w:top="898" w:right="559" w:bottom="1440" w:gutter="0" w:footer="0" w:header="0"/>
        </w:sectPr>
      </w:pPr>
    </w:p>
    <w:bookmarkStart w:id="158" w:name="page159"/>
    <w:bookmarkEnd w:id="158"/>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EXHIBIT C</w:t>
      </w: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[Form of Warrant]</w:t>
      </w:r>
    </w:p>
    <w:p>
      <w:pPr>
        <w:spacing w:after="0" w:line="224"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b w:val="1"/>
          <w:bCs w:val="1"/>
          <w:color w:val="auto"/>
        </w:rPr>
        <w:t>[UNLESS THIS CERTIFICATE IS PRESENTED BY AN AUTHORIZED REPRESENTATIVE OF THE HOLDER, TO THE ISSUER OR ITS AGENT FOR REGISTRATION OF TRANSFER, EXCHANGE, OR PAYMENT, ANY TRANSFER, PLEDGE OR OTHER USE HEREOF FOR VALUE OR OTHERWISE BY OR TO ANY PERSON IS WRONGFUL INASMUCH AS HOLDER HAS AN INTEREST HEREIN.]</w:t>
      </w:r>
    </w:p>
    <w:p>
      <w:pPr>
        <w:sectPr>
          <w:pgSz w:w="11900" w:h="16838" w:orient="portrait"/>
          <w:cols w:equalWidth="0" w:num="1">
            <w:col w:w="11160"/>
          </w:cols>
          <w:pgMar w:left="320" w:top="899" w:right="419" w:bottom="1440" w:gutter="0" w:footer="0" w:header="0"/>
        </w:sectPr>
      </w:pP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No.: 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Number of Warrants: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 Date: November 28, 2023</w:t>
      </w:r>
    </w:p>
    <w:p>
      <w:pPr>
        <w:spacing w:after="0" w:line="200" w:lineRule="exact"/>
        <w:rPr>
          <w:sz w:val="20"/>
          <w:szCs w:val="20"/>
          <w:color w:val="auto"/>
        </w:rPr>
      </w:pPr>
    </w:p>
    <w:p>
      <w:pPr>
        <w:sectPr>
          <w:pgSz w:w="11900" w:h="16838" w:orient="portrait"/>
          <w:cols w:equalWidth="0" w:num="2">
            <w:col w:w="4900" w:space="720"/>
            <w:col w:w="5540"/>
          </w:cols>
          <w:pgMar w:left="320" w:top="899" w:right="419" w:bottom="1440" w:gutter="0" w:footer="0" w:header="0"/>
          <w:type w:val="continuous"/>
        </w:sectPr>
      </w:pPr>
    </w:p>
    <w:p>
      <w:pPr>
        <w:spacing w:after="0" w:line="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22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WARRANT CERTIFICATE</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NOT EXERCISABLE AFTER AUGUST 4, 2025</w:t>
      </w:r>
    </w:p>
    <w:p>
      <w:pPr>
        <w:sectPr>
          <w:pgSz w:w="11900" w:h="16838" w:orient="portrait"/>
          <w:cols w:equalWidth="0" w:num="1">
            <w:col w:w="11160"/>
          </w:cols>
          <w:pgMar w:left="320" w:top="899" w:right="419" w:bottom="1440" w:gutter="0" w:footer="0" w:header="0"/>
          <w:type w:val="continuous"/>
        </w:sectPr>
      </w:pPr>
    </w:p>
    <w:p>
      <w:pPr>
        <w:spacing w:after="0" w:line="213"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This certifies that [●] (“Holder”), or its registered assigns, is the registered owner of the number of Warrants set forth above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Each Warrant entitles its registered holder to purchase from Incannex Healthcare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at any time prior to 5:00 P.M. (New York City time) on August 4, 2025, one share of common stock, par value $0.0001 per share, of the Company (each, a “</w:t>
      </w:r>
      <w:r>
        <w:rPr>
          <w:rFonts w:ascii="Times New Roman" w:cs="Times New Roman" w:eastAsia="Times New Roman" w:hAnsi="Times New Roman"/>
          <w:sz w:val="18"/>
          <w:szCs w:val="18"/>
          <w:b w:val="1"/>
          <w:bCs w:val="1"/>
          <w:color w:val="auto"/>
        </w:rPr>
        <w:t>Warrant Share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at an exercise price of $50.30 per Warrant Share, subject to possible adjustments as provided in the Warrant Agency Agreement (as defined below).</w:t>
      </w:r>
    </w:p>
    <w:p>
      <w:pPr>
        <w:spacing w:after="0" w:line="18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terms and conditions of the Warrants and the rights and obligations of the holder of this Warrant Certificate are set forth in the Warrant Agency Agreement, dated as of December 29, 2023 (the “</w:t>
      </w:r>
      <w:r>
        <w:rPr>
          <w:rFonts w:ascii="Times New Roman" w:cs="Times New Roman" w:eastAsia="Times New Roman" w:hAnsi="Times New Roman"/>
          <w:sz w:val="18"/>
          <w:szCs w:val="18"/>
          <w:b w:val="1"/>
          <w:bCs w:val="1"/>
          <w:color w:val="auto"/>
        </w:rPr>
        <w:t>Warrant Agency Agreement</w:t>
      </w:r>
      <w:r>
        <w:rPr>
          <w:rFonts w:ascii="Times New Roman" w:cs="Times New Roman" w:eastAsia="Times New Roman" w:hAnsi="Times New Roman"/>
          <w:sz w:val="18"/>
          <w:szCs w:val="18"/>
          <w:color w:val="auto"/>
        </w:rPr>
        <w:t>”) between the Company and Computershare Trust Company, N.A. and Computershare Inc. (jointly, the “</w:t>
      </w:r>
      <w:r>
        <w:rPr>
          <w:rFonts w:ascii="Times New Roman" w:cs="Times New Roman" w:eastAsia="Times New Roman" w:hAnsi="Times New Roman"/>
          <w:sz w:val="18"/>
          <w:szCs w:val="18"/>
          <w:b w:val="1"/>
          <w:bCs w:val="1"/>
          <w:color w:val="auto"/>
        </w:rPr>
        <w:t>Warrant Agent</w:t>
      </w:r>
      <w:r>
        <w:rPr>
          <w:rFonts w:ascii="Times New Roman" w:cs="Times New Roman" w:eastAsia="Times New Roman" w:hAnsi="Times New Roman"/>
          <w:sz w:val="18"/>
          <w:szCs w:val="18"/>
          <w:color w:val="auto"/>
        </w:rPr>
        <w:t>”), which Warrant Agency Agreement is hereby incorporated by reference in and made a part of this Warrant Certificate. A copy of the Warrant Agency Agreement is available for inspection during business hours at the office of the Warrant Agent. Defined terms used in this Warrant Certificate but not defined herein shall have the meanings given to them in the Warrant Agency Agreement. In the event of any discrepancy or inconsistency between the terms and conditions of the Warrant Agency Agreement, the terms and conditions of the Warrant Certificate shall prevail, govern and control; provided that the terms of the Warrant Agency Agreement control and supersede any provision in the Warrant Certificate concerning the duties, liabilities, obligations and immunities of the Warrant Agent.</w:t>
      </w:r>
    </w:p>
    <w:p>
      <w:pPr>
        <w:spacing w:after="0" w:line="187" w:lineRule="exact"/>
        <w:rPr>
          <w:sz w:val="20"/>
          <w:szCs w:val="20"/>
          <w:color w:val="auto"/>
        </w:rPr>
      </w:pPr>
    </w:p>
    <w:p>
      <w:pPr>
        <w:ind w:right="320" w:firstLine="440"/>
        <w:spacing w:after="0" w:line="260" w:lineRule="auto"/>
        <w:rPr>
          <w:sz w:val="20"/>
          <w:szCs w:val="20"/>
          <w:color w:val="auto"/>
        </w:rPr>
      </w:pPr>
      <w:r>
        <w:rPr>
          <w:rFonts w:ascii="Times New Roman" w:cs="Times New Roman" w:eastAsia="Times New Roman" w:hAnsi="Times New Roman"/>
          <w:sz w:val="18"/>
          <w:szCs w:val="18"/>
          <w:color w:val="auto"/>
        </w:rPr>
        <w:t>The Company and the Warrant Agent may deem and treat the registered Holder(s) hereof as the absolute owner(s) of this Warrant Certificate (notwithstanding any notation of ownership or other writing hereon made by anyone), for the purpose of any exercise hereof, of any distribution to the holder(s) hereof, and for all other purposes, and neither the Company nor the Warrant Agent shall be affected by any notice to the contrary. Neither the Warrants nor this Warrant Certificate entitles any holder hereof to any rights of a holder of Common Stock of the Company.</w:t>
      </w:r>
    </w:p>
    <w:p>
      <w:pPr>
        <w:spacing w:after="0" w:line="181" w:lineRule="exact"/>
        <w:rPr>
          <w:sz w:val="20"/>
          <w:szCs w:val="20"/>
          <w:color w:val="auto"/>
        </w:rPr>
      </w:pPr>
    </w:p>
    <w:p>
      <w:pPr>
        <w:ind w:right="420" w:firstLine="440"/>
        <w:spacing w:after="0" w:line="281" w:lineRule="auto"/>
        <w:rPr>
          <w:sz w:val="20"/>
          <w:szCs w:val="20"/>
          <w:color w:val="auto"/>
        </w:rPr>
      </w:pPr>
      <w:r>
        <w:rPr>
          <w:rFonts w:ascii="Times New Roman" w:cs="Times New Roman" w:eastAsia="Times New Roman" w:hAnsi="Times New Roman"/>
          <w:sz w:val="18"/>
          <w:szCs w:val="18"/>
          <w:color w:val="auto"/>
        </w:rPr>
        <w:t>This Warrant Certificate shall not be valid or obligatory for any purpose until it shall have been countersigned by an authorized signatory of the Warrant Agent.</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160"/>
          </w:cols>
          <w:pgMar w:left="320" w:top="899" w:right="419" w:bottom="1440" w:gutter="0" w:footer="0" w:header="0"/>
          <w:type w:val="continuous"/>
        </w:sectPr>
      </w:pPr>
    </w:p>
    <w:bookmarkStart w:id="159" w:name="page160"/>
    <w:bookmarkEnd w:id="159"/>
    <w:p>
      <w:pPr>
        <w:ind w:left="440"/>
        <w:spacing w:after="0"/>
        <w:rPr>
          <w:sz w:val="20"/>
          <w:szCs w:val="20"/>
          <w:color w:val="auto"/>
        </w:rPr>
      </w:pPr>
      <w:r>
        <w:rPr>
          <w:rFonts w:ascii="Times New Roman" w:cs="Times New Roman" w:eastAsia="Times New Roman" w:hAnsi="Times New Roman"/>
          <w:sz w:val="17"/>
          <w:szCs w:val="17"/>
          <w:color w:val="auto"/>
        </w:rPr>
        <w:t>IN WITNESS WHEREOF, the parties hereto have caused this Warrant Certificate to be duly executed as of the date first written above.</w:t>
      </w:r>
    </w:p>
    <w:p>
      <w:pPr>
        <w:spacing w:after="0" w:line="23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22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4648835</wp:posOffset>
            </wp:positionH>
            <wp:positionV relativeFrom="paragraph">
              <wp:posOffset>17145</wp:posOffset>
            </wp:positionV>
            <wp:extent cx="248856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8">
                      <a:extLst>
                        <a:ext uri="{28A0092B-C50C-407E-A947-70E740481C1C}"/>
                      </a:extLst>
                    </a:blip>
                    <a:srcRect/>
                    <a:stretch>
                      <a:fillRect/>
                    </a:stretch>
                  </pic:blipFill>
                  <pic:spPr bwMode="auto">
                    <a:xfrm>
                      <a:off x="0" y="0"/>
                      <a:ext cx="2488565"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Joel Latham</w:t>
      </w:r>
    </w:p>
    <w:p>
      <w:pPr>
        <w:spacing w:after="0" w:line="3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and President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Countersigned: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COMPUTERSHARE INC. and COMPUTERSHARE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 COMPANY, 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jointly as Warrant Agent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17145</wp:posOffset>
            </wp:positionV>
            <wp:extent cx="263398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9">
                      <a:extLst>
                        <a:ext uri="{28A0092B-C50C-407E-A947-70E740481C1C}"/>
                      </a:extLst>
                    </a:blip>
                    <a:srcRect/>
                    <a:stretch>
                      <a:fillRect/>
                    </a:stretch>
                  </pic:blipFill>
                  <pic:spPr bwMode="auto">
                    <a:xfrm>
                      <a:off x="0" y="0"/>
                      <a:ext cx="2633980" cy="17145"/>
                    </a:xfrm>
                    <a:prstGeom prst="rect">
                      <a:avLst/>
                    </a:prstGeom>
                    <a:noFill/>
                  </pic:spPr>
                </pic:pic>
              </a:graphicData>
            </a:graphic>
          </wp:anchor>
        </w:drawing>
      </w:r>
    </w:p>
    <w:p>
      <w:pPr>
        <w:spacing w:after="0" w:line="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180"/>
          </w:cols>
          <w:pgMar w:left="320" w:top="902" w:right="1399" w:bottom="1440" w:gutter="0" w:footer="0" w:header="0"/>
        </w:sectPr>
      </w:pPr>
    </w:p>
    <w:bookmarkStart w:id="160" w:name="page161"/>
    <w:bookmarkEnd w:id="160"/>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Exercise Notice to Warrant Certificate No. C-[●] (the “Warrant”)</w:t>
      </w:r>
    </w:p>
    <w:p>
      <w:pPr>
        <w:spacing w:after="0" w:line="2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To be executed by the Registered Holder to Exercise this Warrant to purchase Common Stock of</w:t>
      </w:r>
    </w:p>
    <w:p>
      <w:pPr>
        <w:spacing w:after="0" w:line="2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holder hereby exercises the right to purchase _________________ shares of common stock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Incannex Healthcare</w:t>
      </w:r>
    </w:p>
    <w:p>
      <w:pPr>
        <w:spacing w:after="0" w:line="31"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18"/>
          <w:szCs w:val="18"/>
          <w:color w:val="auto"/>
        </w:rPr>
        <w:t xml:space="preserve">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under the Warrant. Capitalized terms used herein and not otherwise defined shall have the respective meanings set forth in the Warrant Agent Agreement.</w:t>
      </w:r>
    </w:p>
    <w:p>
      <w:pPr>
        <w:spacing w:after="0" w:line="177" w:lineRule="exact"/>
        <w:rPr>
          <w:sz w:val="20"/>
          <w:szCs w:val="20"/>
          <w:color w:val="auto"/>
        </w:rPr>
      </w:pPr>
    </w:p>
    <w:p>
      <w:pPr>
        <w:ind w:left="180" w:hanging="172"/>
        <w:spacing w:after="0"/>
        <w:tabs>
          <w:tab w:leader="none" w:pos="18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Form of Exercise Price</w:t>
      </w:r>
      <w:r>
        <w:rPr>
          <w:rFonts w:ascii="Times New Roman" w:cs="Times New Roman" w:eastAsia="Times New Roman" w:hAnsi="Times New Roman"/>
          <w:sz w:val="18"/>
          <w:szCs w:val="18"/>
          <w:color w:val="auto"/>
        </w:rPr>
        <w:t>. The Holder intends that payment of the Exercise Price shall be made as:</w:t>
      </w:r>
    </w:p>
    <w:p>
      <w:pPr>
        <w:spacing w:after="0" w:line="224" w:lineRule="exact"/>
        <w:rPr>
          <w:rFonts w:ascii="Times New Roman" w:cs="Times New Roman" w:eastAsia="Times New Roman" w:hAnsi="Times New Roman"/>
          <w:sz w:val="18"/>
          <w:szCs w:val="18"/>
          <w:color w:val="auto"/>
        </w:rPr>
      </w:pPr>
    </w:p>
    <w:p>
      <w:pPr>
        <w:ind w:left="740" w:hanging="638"/>
        <w:spacing w:after="0"/>
        <w:tabs>
          <w:tab w:leader="none" w:pos="7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auto"/>
        </w:rPr>
        <w:t>Cash Exercise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with respect to _________________ Common Stock; and/or</w:t>
      </w:r>
    </w:p>
    <w:p>
      <w:pPr>
        <w:spacing w:after="0" w:line="227" w:lineRule="exact"/>
        <w:rPr>
          <w:rFonts w:ascii="Times New Roman" w:cs="Times New Roman" w:eastAsia="Times New Roman" w:hAnsi="Times New Roman"/>
          <w:sz w:val="18"/>
          <w:szCs w:val="18"/>
          <w:color w:val="auto"/>
        </w:rPr>
      </w:pPr>
    </w:p>
    <w:p>
      <w:pPr>
        <w:ind w:left="740" w:hanging="638"/>
        <w:spacing w:after="0"/>
        <w:tabs>
          <w:tab w:leader="none" w:pos="74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with respect to _______________ Common Stock.</w:t>
      </w:r>
    </w:p>
    <w:p>
      <w:pPr>
        <w:spacing w:after="0" w:line="220" w:lineRule="exact"/>
        <w:rPr>
          <w:rFonts w:ascii="Times New Roman" w:cs="Times New Roman" w:eastAsia="Times New Roman" w:hAnsi="Times New Roman"/>
          <w:sz w:val="18"/>
          <w:szCs w:val="18"/>
          <w:color w:val="auto"/>
        </w:rPr>
      </w:pPr>
    </w:p>
    <w:p>
      <w:pPr>
        <w:ind w:firstLine="8"/>
        <w:spacing w:after="0" w:line="258" w:lineRule="auto"/>
        <w:tabs>
          <w:tab w:leader="none" w:pos="17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of Exercise Price</w:t>
      </w:r>
      <w:r>
        <w:rPr>
          <w:rFonts w:ascii="Times New Roman" w:cs="Times New Roman" w:eastAsia="Times New Roman" w:hAnsi="Times New Roman"/>
          <w:sz w:val="18"/>
          <w:szCs w:val="18"/>
          <w:color w:val="auto"/>
        </w:rPr>
        <w:t>. In the event that the holder has elected a Cash Exercise with respect to some or all of the Common Stock to be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hereto, the holder shall pay the Exercise Price in the sum of US$___________________ to the Company in accordance with the terms of the Warrant and the Warrant Agent Agreement and according to the wire details provided by the Warrant Agent upon request. To request wire instructions, please contact the Warrant Agent via email at Web.Queries@computershare.com or phone at 1-800-546-5141 if calling from within the United States or at +1 781-575-2765 if calling from outside the United States.</w:t>
      </w:r>
    </w:p>
    <w:p>
      <w:pPr>
        <w:spacing w:after="0" w:line="180" w:lineRule="exact"/>
        <w:rPr>
          <w:rFonts w:ascii="Times New Roman" w:cs="Times New Roman" w:eastAsia="Times New Roman" w:hAnsi="Times New Roman"/>
          <w:sz w:val="18"/>
          <w:szCs w:val="18"/>
          <w:color w:val="auto"/>
        </w:rPr>
      </w:pPr>
    </w:p>
    <w:p>
      <w:pPr>
        <w:jc w:val="both"/>
        <w:ind w:right="20" w:firstLine="8"/>
        <w:spacing w:after="0" w:line="267" w:lineRule="auto"/>
        <w:tabs>
          <w:tab w:leader="none" w:pos="17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Delivery of Warrant Shares</w:t>
      </w:r>
      <w:r>
        <w:rPr>
          <w:rFonts w:ascii="Times New Roman" w:cs="Times New Roman" w:eastAsia="Times New Roman" w:hAnsi="Times New Roman"/>
          <w:sz w:val="18"/>
          <w:szCs w:val="18"/>
          <w:color w:val="auto"/>
        </w:rPr>
        <w:t>. The Company shall deliver to the Holder __________ Warrant Shares in accordance with the terms of the Warrant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after delivery of such Warrant Shares, _____________ Warrant Shares remain subject to the Warrant. Delivery of Warrant Shares shall be made to Holder, or for its benefit, to the registered account which held the Warrant.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 of the holder of the Warrant: _________________________________</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________________________________________</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 of signatory and title if the investor is a legal entity: _________________________________</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Address:_______________________________________________________________________</w:t>
      </w:r>
    </w:p>
    <w:p>
      <w:pPr>
        <w:spacing w:after="0" w:line="200" w:lineRule="exact"/>
        <w:rPr>
          <w:sz w:val="20"/>
          <w:szCs w:val="20"/>
          <w:color w:val="auto"/>
        </w:rPr>
      </w:pPr>
    </w:p>
    <w:p>
      <w:pPr>
        <w:spacing w:after="0" w:line="2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100"/>
          </w:cols>
          <w:pgMar w:left="320" w:top="898" w:right="479" w:bottom="1440" w:gutter="0" w:footer="0" w:header="0"/>
        </w:sectPr>
      </w:pPr>
    </w:p>
    <w:bookmarkStart w:id="161" w:name="page162"/>
    <w:bookmarkEnd w:id="161"/>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(To assign the foregoing warrant, execute</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this form and supply required information.</w:t>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Do not use this form to exercise the warrant.)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the undersigned registered holder hereby sells, assigns and transfers unto</w:t>
      </w:r>
    </w:p>
    <w:p>
      <w:pPr>
        <w:spacing w:after="0" w:line="22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Name of Assignee</w:t>
      </w:r>
    </w:p>
    <w:p>
      <w:pPr>
        <w:spacing w:after="0" w:line="206"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Mailing Address and E-Mail Address of Assignee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 Warrants to purchase shares of common stock of Incannex Healthcare Inc., a Delaware corporation, evidenced by the attached Warrant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held by the undersigned, together with all right, title and interest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3295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2600"/>
        <w:spacing w:after="0"/>
        <w:tabs>
          <w:tab w:leader="none" w:pos="73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Signature of Registered Holder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Information of Registered Holder: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1792605</wp:posOffset>
            </wp:positionH>
            <wp:positionV relativeFrom="paragraph">
              <wp:posOffset>17145</wp:posOffset>
            </wp:positionV>
            <wp:extent cx="356616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1792605</wp:posOffset>
            </wp:positionH>
            <wp:positionV relativeFrom="paragraph">
              <wp:posOffset>-127635</wp:posOffset>
            </wp:positionV>
            <wp:extent cx="356616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1792605</wp:posOffset>
            </wp:positionH>
            <wp:positionV relativeFrom="paragraph">
              <wp:posOffset>25400</wp:posOffset>
            </wp:positionV>
            <wp:extent cx="356616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5">
                      <a:extLst>
                        <a:ext uri="{28A0092B-C50C-407E-A947-70E740481C1C}"/>
                      </a:extLst>
                    </a:blip>
                    <a:srcRect/>
                    <a:stretch>
                      <a:fillRect/>
                    </a:stretch>
                  </pic:blipFill>
                  <pic:spPr bwMode="auto">
                    <a:xfrm>
                      <a:off x="0" y="0"/>
                      <a:ext cx="3566160" cy="17145"/>
                    </a:xfrm>
                    <a:prstGeom prst="rect">
                      <a:avLst/>
                    </a:prstGeom>
                    <a:noFill/>
                  </pic:spPr>
                </pic:pic>
              </a:graphicData>
            </a:graphic>
          </wp:anchor>
        </w:drawing>
        <w:drawing>
          <wp:anchor simplePos="0" relativeHeight="251657728" behindDoc="1" locked="0" layoutInCell="0" allowOverlap="1">
            <wp:simplePos x="0" y="0"/>
            <wp:positionH relativeFrom="column">
              <wp:posOffset>1792605</wp:posOffset>
            </wp:positionH>
            <wp:positionV relativeFrom="paragraph">
              <wp:posOffset>-127635</wp:posOffset>
            </wp:positionV>
            <wp:extent cx="356616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Security or Other Taxpayer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Identification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2074545</wp:posOffset>
            </wp:positionH>
            <wp:positionV relativeFrom="paragraph">
              <wp:posOffset>-2540</wp:posOffset>
            </wp:positionV>
            <wp:extent cx="506285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7">
                      <a:extLst>
                        <a:ext uri="{28A0092B-C50C-407E-A947-70E740481C1C}"/>
                      </a:extLst>
                    </a:blip>
                    <a:srcRect/>
                    <a:stretch>
                      <a:fillRect/>
                    </a:stretch>
                  </pic:blipFill>
                  <pic:spPr bwMode="auto">
                    <a:xfrm>
                      <a:off x="0" y="0"/>
                      <a:ext cx="5062855" cy="1714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285623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8">
                      <a:extLst>
                        <a:ext uri="{28A0092B-C50C-407E-A947-70E740481C1C}"/>
                      </a:extLst>
                    </a:blip>
                    <a:srcRect/>
                    <a:stretch>
                      <a:fillRect/>
                    </a:stretch>
                  </pic:blipFill>
                  <pic:spPr bwMode="auto">
                    <a:xfrm>
                      <a:off x="0" y="0"/>
                      <a:ext cx="285623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Signatures must be guaranteed by a participant in the Securities Transfer Agent Medallion Program, the Stock Exchanges Medallion Program or the New York Stock Exchange, Inc. Medallion Signature Program.</w:t>
      </w:r>
    </w:p>
    <w:p>
      <w:pPr>
        <w:spacing w:after="0" w:line="37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020"/>
          </w:cols>
          <w:pgMar w:left="320" w:top="899" w:right="559" w:bottom="1440" w:gutter="0" w:footer="0" w:header="0"/>
        </w:sectPr>
      </w:pPr>
    </w:p>
    <w:bookmarkStart w:id="162" w:name="page163"/>
    <w:bookmarkEnd w:id="162"/>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EXHIBIT D</w:t>
      </w: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[Form of Warrant]</w:t>
      </w:r>
    </w:p>
    <w:p>
      <w:pPr>
        <w:spacing w:after="0" w:line="224"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b w:val="1"/>
          <w:bCs w:val="1"/>
          <w:color w:val="auto"/>
        </w:rPr>
        <w:t>[UNLESS THIS CERTIFICATE IS PRESENTED BY AN AUTHORIZED REPRESENTATIVE OF THE HOLDER, TO THE ISSUER OR ITS AGENT FOR REGISTRATION OF TRANSFER, EXCHANGE, OR PAYMENT, ANY TRANSFER, PLEDGE OR OTHER USE HEREOF FOR VALUE OR OTHERWISE BY OR TO ANY PERSON IS WRONGFUL INASMUCH AS HOLDER HAS AN INTEREST HEREIN.]</w:t>
      </w:r>
    </w:p>
    <w:p>
      <w:pPr>
        <w:sectPr>
          <w:pgSz w:w="11900" w:h="16838" w:orient="portrait"/>
          <w:cols w:equalWidth="0" w:num="1">
            <w:col w:w="11160"/>
          </w:cols>
          <w:pgMar w:left="320" w:top="899" w:right="419" w:bottom="1440" w:gutter="0" w:footer="0" w:header="0"/>
        </w:sectPr>
      </w:pP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No.: 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Number of Warrants: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 Date: November 28, 2023</w:t>
      </w:r>
    </w:p>
    <w:p>
      <w:pPr>
        <w:spacing w:after="0" w:line="200" w:lineRule="exact"/>
        <w:rPr>
          <w:sz w:val="20"/>
          <w:szCs w:val="20"/>
          <w:color w:val="auto"/>
        </w:rPr>
      </w:pPr>
    </w:p>
    <w:p>
      <w:pPr>
        <w:sectPr>
          <w:pgSz w:w="11900" w:h="16838" w:orient="portrait"/>
          <w:cols w:equalWidth="0" w:num="2">
            <w:col w:w="4900" w:space="720"/>
            <w:col w:w="5540"/>
          </w:cols>
          <w:pgMar w:left="320" w:top="899" w:right="419" w:bottom="1440" w:gutter="0" w:footer="0" w:header="0"/>
          <w:type w:val="continuous"/>
        </w:sectPr>
      </w:pPr>
    </w:p>
    <w:p>
      <w:pPr>
        <w:spacing w:after="0" w:line="1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22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WARRANT CERTIFICATE</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NOT EXERCISABLE AFTER DECEMBER 31, 2025</w:t>
      </w:r>
    </w:p>
    <w:p>
      <w:pPr>
        <w:sectPr>
          <w:pgSz w:w="11900" w:h="16838" w:orient="portrait"/>
          <w:cols w:equalWidth="0" w:num="1">
            <w:col w:w="11160"/>
          </w:cols>
          <w:pgMar w:left="320" w:top="899" w:right="419" w:bottom="1440" w:gutter="0" w:footer="0" w:header="0"/>
          <w:type w:val="continuous"/>
        </w:sectPr>
      </w:pPr>
    </w:p>
    <w:p>
      <w:pPr>
        <w:spacing w:after="0" w:line="213"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This certifies that [●] (“Holder”), or its registered assigns, is the registered owner of the number of Warrants set forth above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Each Warrant entitles its registered holder to purchase from Incannex Healthcare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at any time prior to 5:00 P.M. (New York City time) on December 31, 2025, one share of common stock, par value $0.0001 per share, of the Company (each, a “</w:t>
      </w:r>
      <w:r>
        <w:rPr>
          <w:rFonts w:ascii="Times New Roman" w:cs="Times New Roman" w:eastAsia="Times New Roman" w:hAnsi="Times New Roman"/>
          <w:sz w:val="18"/>
          <w:szCs w:val="18"/>
          <w:b w:val="1"/>
          <w:bCs w:val="1"/>
          <w:color w:val="auto"/>
        </w:rPr>
        <w:t>Warrant Share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at an exercise price of $18.74 per Warrant Share, subject to possible adjustments as provided in the Warrant Agency Agreement (as defined below).</w:t>
      </w:r>
    </w:p>
    <w:p>
      <w:pPr>
        <w:spacing w:after="0" w:line="18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terms and conditions of the Warrants and the rights and obligations of the holder of this Warrant Certificate are set forth in the Warrant Agency Agreement, dated as of December 29, 2023 (the “</w:t>
      </w:r>
      <w:r>
        <w:rPr>
          <w:rFonts w:ascii="Times New Roman" w:cs="Times New Roman" w:eastAsia="Times New Roman" w:hAnsi="Times New Roman"/>
          <w:sz w:val="18"/>
          <w:szCs w:val="18"/>
          <w:b w:val="1"/>
          <w:bCs w:val="1"/>
          <w:color w:val="auto"/>
        </w:rPr>
        <w:t>Warrant Agency Agreement</w:t>
      </w:r>
      <w:r>
        <w:rPr>
          <w:rFonts w:ascii="Times New Roman" w:cs="Times New Roman" w:eastAsia="Times New Roman" w:hAnsi="Times New Roman"/>
          <w:sz w:val="18"/>
          <w:szCs w:val="18"/>
          <w:color w:val="auto"/>
        </w:rPr>
        <w:t>”) between the Company and Computershare Trust Company, N.A. and Computershare Inc. (jointly, the “</w:t>
      </w:r>
      <w:r>
        <w:rPr>
          <w:rFonts w:ascii="Times New Roman" w:cs="Times New Roman" w:eastAsia="Times New Roman" w:hAnsi="Times New Roman"/>
          <w:sz w:val="18"/>
          <w:szCs w:val="18"/>
          <w:b w:val="1"/>
          <w:bCs w:val="1"/>
          <w:color w:val="auto"/>
        </w:rPr>
        <w:t>Warrant Agent</w:t>
      </w:r>
      <w:r>
        <w:rPr>
          <w:rFonts w:ascii="Times New Roman" w:cs="Times New Roman" w:eastAsia="Times New Roman" w:hAnsi="Times New Roman"/>
          <w:sz w:val="18"/>
          <w:szCs w:val="18"/>
          <w:color w:val="auto"/>
        </w:rPr>
        <w:t>”), which Warrant Agency Agreement is hereby incorporated by reference in and made a part of this Warrant Certificate. A copy of the Warrant Agency Agreement is available for inspection during business hours at the office of the Warrant Agent. Defined terms used in this Warrant Certificate but not defined herein shall have the meanings given to them in the Warrant Agency Agreement. In the event of any discrepancy or inconsistency between the terms and conditions of the Warrant Agency Agreement, the terms and conditions of the Warrant Certificate shall prevail, govern and control; provided that the terms of the Warrant Agency Agreement control and supersede any provision in the Warrant Certificate concerning the duties, liabilities, obligations and immunities of the Warrant Agent.</w:t>
      </w:r>
    </w:p>
    <w:p>
      <w:pPr>
        <w:spacing w:after="0" w:line="187" w:lineRule="exact"/>
        <w:rPr>
          <w:sz w:val="20"/>
          <w:szCs w:val="20"/>
          <w:color w:val="auto"/>
        </w:rPr>
      </w:pPr>
    </w:p>
    <w:p>
      <w:pPr>
        <w:ind w:right="320" w:firstLine="440"/>
        <w:spacing w:after="0" w:line="260" w:lineRule="auto"/>
        <w:rPr>
          <w:sz w:val="20"/>
          <w:szCs w:val="20"/>
          <w:color w:val="auto"/>
        </w:rPr>
      </w:pPr>
      <w:r>
        <w:rPr>
          <w:rFonts w:ascii="Times New Roman" w:cs="Times New Roman" w:eastAsia="Times New Roman" w:hAnsi="Times New Roman"/>
          <w:sz w:val="18"/>
          <w:szCs w:val="18"/>
          <w:color w:val="auto"/>
        </w:rPr>
        <w:t>The Company and the Warrant Agent may deem and treat the registered Holder(s) hereof as the absolute owner(s) of this Warrant Certificate (notwithstanding any notation of ownership or other writing hereon made by anyone), for the purpose of any exercise hereof, of any distribution to the holder(s) hereof, and for all other purposes, and neither the Company nor the Warrant Agent shall be affected by any notice to the contrary. Neither the Warrants nor this Warrant Certificate entitles any holder hereof to any rights of a holder of Common Stock of the Company.</w:t>
      </w:r>
    </w:p>
    <w:p>
      <w:pPr>
        <w:spacing w:after="0" w:line="181" w:lineRule="exact"/>
        <w:rPr>
          <w:sz w:val="20"/>
          <w:szCs w:val="20"/>
          <w:color w:val="auto"/>
        </w:rPr>
      </w:pPr>
    </w:p>
    <w:p>
      <w:pPr>
        <w:ind w:right="420" w:firstLine="440"/>
        <w:spacing w:after="0" w:line="281" w:lineRule="auto"/>
        <w:rPr>
          <w:sz w:val="20"/>
          <w:szCs w:val="20"/>
          <w:color w:val="auto"/>
        </w:rPr>
      </w:pPr>
      <w:r>
        <w:rPr>
          <w:rFonts w:ascii="Times New Roman" w:cs="Times New Roman" w:eastAsia="Times New Roman" w:hAnsi="Times New Roman"/>
          <w:sz w:val="18"/>
          <w:szCs w:val="18"/>
          <w:color w:val="auto"/>
        </w:rPr>
        <w:t>This Warrant Certificate shall not be valid or obligatory for any purpose until it shall have been countersigned by an authorized signatory of the Warrant Agent.</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160"/>
          </w:cols>
          <w:pgMar w:left="320" w:top="899" w:right="419" w:bottom="1440" w:gutter="0" w:footer="0" w:header="0"/>
          <w:type w:val="continuous"/>
        </w:sectPr>
      </w:pPr>
    </w:p>
    <w:bookmarkStart w:id="163" w:name="page164"/>
    <w:bookmarkEnd w:id="163"/>
    <w:p>
      <w:pPr>
        <w:ind w:left="44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Warrant Certificate to be duly executed as of the date first written above.</w:t>
      </w:r>
    </w:p>
    <w:p>
      <w:pPr>
        <w:spacing w:after="0" w:line="22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22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4503420</wp:posOffset>
            </wp:positionH>
            <wp:positionV relativeFrom="paragraph">
              <wp:posOffset>17145</wp:posOffset>
            </wp:positionV>
            <wp:extent cx="263398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1">
                      <a:extLst>
                        <a:ext uri="{28A0092B-C50C-407E-A947-70E740481C1C}"/>
                      </a:extLst>
                    </a:blip>
                    <a:srcRect/>
                    <a:stretch>
                      <a:fillRect/>
                    </a:stretch>
                  </pic:blipFill>
                  <pic:spPr bwMode="auto">
                    <a:xfrm>
                      <a:off x="0" y="0"/>
                      <a:ext cx="2633980" cy="17145"/>
                    </a:xfrm>
                    <a:prstGeom prst="rect">
                      <a:avLst/>
                    </a:prstGeom>
                    <a:noFill/>
                  </pic:spPr>
                </pic:pic>
              </a:graphicData>
            </a:graphic>
          </wp:anchor>
        </w:drawing>
      </w:r>
    </w:p>
    <w:p>
      <w:pPr>
        <w:spacing w:after="0" w:line="15"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Joel Latham</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7"/>
          <w:szCs w:val="17"/>
          <w:color w:val="auto"/>
        </w:rPr>
        <w:t>Title: Chief Executive Officer and President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Countersigned: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COMPUTERSHARE INC. and COMPUTERSHARE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 COMPANY, 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jointly as Warrant Agent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17145</wp:posOffset>
            </wp:positionV>
            <wp:extent cx="263398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2">
                      <a:extLst>
                        <a:ext uri="{28A0092B-C50C-407E-A947-70E740481C1C}"/>
                      </a:extLst>
                    </a:blip>
                    <a:srcRect/>
                    <a:stretch>
                      <a:fillRect/>
                    </a:stretch>
                  </pic:blipFill>
                  <pic:spPr bwMode="auto">
                    <a:xfrm>
                      <a:off x="0" y="0"/>
                      <a:ext cx="2633980" cy="17145"/>
                    </a:xfrm>
                    <a:prstGeom prst="rect">
                      <a:avLst/>
                    </a:prstGeom>
                    <a:noFill/>
                  </pic:spPr>
                </pic:pic>
              </a:graphicData>
            </a:graphic>
          </wp:anchor>
        </w:drawing>
      </w:r>
    </w:p>
    <w:p>
      <w:pPr>
        <w:spacing w:after="0" w:line="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260"/>
          </w:cols>
          <w:pgMar w:left="320" w:top="902" w:right="1319" w:bottom="1440" w:gutter="0" w:footer="0" w:header="0"/>
        </w:sectPr>
      </w:pPr>
    </w:p>
    <w:bookmarkStart w:id="164" w:name="page165"/>
    <w:bookmarkEnd w:id="164"/>
    <w:p>
      <w:pPr>
        <w:jc w:val="center"/>
        <w:ind w:left="460" w:right="1800"/>
        <w:spacing w:after="0" w:line="267" w:lineRule="auto"/>
        <w:rPr>
          <w:sz w:val="20"/>
          <w:szCs w:val="20"/>
          <w:color w:val="auto"/>
        </w:rPr>
      </w:pPr>
      <w:r>
        <w:rPr>
          <w:rFonts w:ascii="Times New Roman" w:cs="Times New Roman" w:eastAsia="Times New Roman" w:hAnsi="Times New Roman"/>
          <w:sz w:val="18"/>
          <w:szCs w:val="18"/>
          <w:b w:val="1"/>
          <w:bCs w:val="1"/>
          <w:color w:val="auto"/>
        </w:rPr>
        <w:t>Exercise Notice to Warrant Certificate No. D-[●] (the “Warrant”) To be executed by the Registered Holder to Exercise this Warrant to purchase Common Stock of Incannex Healthcare Inc.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holder hereby exercises the right to purchase _________________ shares of common stock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Incannex Healthcare</w:t>
      </w:r>
    </w:p>
    <w:p>
      <w:pPr>
        <w:spacing w:after="0" w:line="31"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18"/>
          <w:szCs w:val="18"/>
          <w:color w:val="auto"/>
        </w:rPr>
        <w:t xml:space="preserve">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under the Warrant. Capitalized terms used herein and not otherwise defined shall have the respective meanings set forth in the Warrant Agent Agreement.</w:t>
      </w:r>
    </w:p>
    <w:p>
      <w:pPr>
        <w:spacing w:after="0" w:line="177" w:lineRule="exact"/>
        <w:rPr>
          <w:sz w:val="20"/>
          <w:szCs w:val="20"/>
          <w:color w:val="auto"/>
        </w:rPr>
      </w:pPr>
    </w:p>
    <w:p>
      <w:pPr>
        <w:ind w:left="180" w:hanging="172"/>
        <w:spacing w:after="0"/>
        <w:tabs>
          <w:tab w:leader="none" w:pos="1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Form of Exercise Price</w:t>
      </w:r>
      <w:r>
        <w:rPr>
          <w:rFonts w:ascii="Times New Roman" w:cs="Times New Roman" w:eastAsia="Times New Roman" w:hAnsi="Times New Roman"/>
          <w:sz w:val="18"/>
          <w:szCs w:val="18"/>
          <w:color w:val="auto"/>
        </w:rPr>
        <w:t>. The Holder intends that payment of the Exercise Price shall be made as:</w:t>
      </w:r>
    </w:p>
    <w:p>
      <w:pPr>
        <w:spacing w:after="0" w:line="224" w:lineRule="exact"/>
        <w:rPr>
          <w:rFonts w:ascii="Times New Roman" w:cs="Times New Roman" w:eastAsia="Times New Roman" w:hAnsi="Times New Roman"/>
          <w:sz w:val="18"/>
          <w:szCs w:val="18"/>
          <w:color w:val="auto"/>
        </w:rPr>
      </w:pPr>
    </w:p>
    <w:p>
      <w:pPr>
        <w:ind w:left="740" w:hanging="638"/>
        <w:spacing w:after="0"/>
        <w:tabs>
          <w:tab w:leader="none" w:pos="74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auto"/>
        </w:rPr>
        <w:t>Cash Exercise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with respect to _________________ Common Stock; and/or</w:t>
      </w:r>
    </w:p>
    <w:p>
      <w:pPr>
        <w:spacing w:after="0" w:line="228" w:lineRule="exact"/>
        <w:rPr>
          <w:rFonts w:ascii="Times New Roman" w:cs="Times New Roman" w:eastAsia="Times New Roman" w:hAnsi="Times New Roman"/>
          <w:sz w:val="18"/>
          <w:szCs w:val="18"/>
          <w:color w:val="auto"/>
        </w:rPr>
      </w:pPr>
    </w:p>
    <w:p>
      <w:pPr>
        <w:ind w:left="740" w:hanging="638"/>
        <w:spacing w:after="0"/>
        <w:tabs>
          <w:tab w:leader="none" w:pos="74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with respect to _______________ Common Stock.</w:t>
      </w:r>
    </w:p>
    <w:p>
      <w:pPr>
        <w:spacing w:after="0" w:line="219" w:lineRule="exact"/>
        <w:rPr>
          <w:rFonts w:ascii="Times New Roman" w:cs="Times New Roman" w:eastAsia="Times New Roman" w:hAnsi="Times New Roman"/>
          <w:sz w:val="18"/>
          <w:szCs w:val="18"/>
          <w:color w:val="auto"/>
        </w:rPr>
      </w:pPr>
    </w:p>
    <w:p>
      <w:pPr>
        <w:ind w:firstLine="8"/>
        <w:spacing w:after="0" w:line="258" w:lineRule="auto"/>
        <w:tabs>
          <w:tab w:leader="none" w:pos="17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of Exercise Price</w:t>
      </w:r>
      <w:r>
        <w:rPr>
          <w:rFonts w:ascii="Times New Roman" w:cs="Times New Roman" w:eastAsia="Times New Roman" w:hAnsi="Times New Roman"/>
          <w:sz w:val="18"/>
          <w:szCs w:val="18"/>
          <w:color w:val="auto"/>
        </w:rPr>
        <w:t>. In the event that the holder has elected a Cash Exercise with respect to some or all of the Common Stock to be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hereto, the holder shall pay the Exercise Price in the sum of US$___________________ to the Company in accordance with the terms of the Warrant and the Warrant Agent Agreement and according to the wire details provided by the Warrant Agent upon request. To request wire instructions, please contact the Warrant Agent via email at Web.Queries@computershare.com or phone at 1-800-546-5141 if calling from within the United States or at +1 781-575-2765 if calling from outside the United States.</w:t>
      </w:r>
    </w:p>
    <w:p>
      <w:pPr>
        <w:spacing w:after="0" w:line="180" w:lineRule="exact"/>
        <w:rPr>
          <w:rFonts w:ascii="Times New Roman" w:cs="Times New Roman" w:eastAsia="Times New Roman" w:hAnsi="Times New Roman"/>
          <w:sz w:val="18"/>
          <w:szCs w:val="18"/>
          <w:color w:val="auto"/>
        </w:rPr>
      </w:pPr>
    </w:p>
    <w:p>
      <w:pPr>
        <w:jc w:val="both"/>
        <w:ind w:right="20" w:firstLine="8"/>
        <w:spacing w:after="0" w:line="267" w:lineRule="auto"/>
        <w:tabs>
          <w:tab w:leader="none" w:pos="17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Delivery of Warrant Shares</w:t>
      </w:r>
      <w:r>
        <w:rPr>
          <w:rFonts w:ascii="Times New Roman" w:cs="Times New Roman" w:eastAsia="Times New Roman" w:hAnsi="Times New Roman"/>
          <w:sz w:val="18"/>
          <w:szCs w:val="18"/>
          <w:color w:val="auto"/>
        </w:rPr>
        <w:t>. The Company shall deliver to the Holder __________ Warrant Shares in accordance with the terms of the Warrant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after delivery of such Warrant Shares, _____________ Warrant Shares remain subject to the Warrant. Delivery of Warrant Shares shall be made to Holder, or for its benefit, to the registered account which held the Warrant.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 of the holder of the Warrant: ________________________________________</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__________________________________________</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 of signatory and title if the investor is a legal entity: _________________________________</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_____________________________________________________________________</w:t>
      </w:r>
    </w:p>
    <w:p>
      <w:pPr>
        <w:spacing w:after="0" w:line="200" w:lineRule="exact"/>
        <w:rPr>
          <w:sz w:val="20"/>
          <w:szCs w:val="20"/>
          <w:color w:val="auto"/>
        </w:rPr>
      </w:pPr>
    </w:p>
    <w:p>
      <w:pPr>
        <w:spacing w:after="0" w:line="2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100"/>
          </w:cols>
          <w:pgMar w:left="320" w:top="899" w:right="479" w:bottom="1440" w:gutter="0" w:footer="0" w:header="0"/>
        </w:sectPr>
      </w:pPr>
    </w:p>
    <w:bookmarkStart w:id="165" w:name="page166"/>
    <w:bookmarkEnd w:id="165"/>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(To assign the foregoing warrant, execute</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this form and supply required information.</w:t>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Do not use this form to exercise the warrant.)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the undersigned registered holder hereby sells, assigns and transfers unto</w:t>
      </w:r>
    </w:p>
    <w:p>
      <w:pPr>
        <w:spacing w:after="0" w:line="22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Name of Assignee</w:t>
      </w:r>
    </w:p>
    <w:p>
      <w:pPr>
        <w:spacing w:after="0" w:line="206"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Mailing Address and E-Mail Address of Assignee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 Warrants to purchase shares of common stock of Incannex Healthcare Inc., a Delaware corporation, evidenced by the attached Warrant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held by the undersigned, together with all right, title and interest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3295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2600"/>
        <w:spacing w:after="0"/>
        <w:tabs>
          <w:tab w:leader="none" w:pos="73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Signature of Registered Holder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Information of Registered Holder: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1792605</wp:posOffset>
            </wp:positionH>
            <wp:positionV relativeFrom="paragraph">
              <wp:posOffset>17145</wp:posOffset>
            </wp:positionV>
            <wp:extent cx="356616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1792605</wp:posOffset>
            </wp:positionH>
            <wp:positionV relativeFrom="paragraph">
              <wp:posOffset>-127635</wp:posOffset>
            </wp:positionV>
            <wp:extent cx="356616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1792605</wp:posOffset>
            </wp:positionH>
            <wp:positionV relativeFrom="paragraph">
              <wp:posOffset>25400</wp:posOffset>
            </wp:positionV>
            <wp:extent cx="356616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8">
                      <a:extLst>
                        <a:ext uri="{28A0092B-C50C-407E-A947-70E740481C1C}"/>
                      </a:extLst>
                    </a:blip>
                    <a:srcRect/>
                    <a:stretch>
                      <a:fillRect/>
                    </a:stretch>
                  </pic:blipFill>
                  <pic:spPr bwMode="auto">
                    <a:xfrm>
                      <a:off x="0" y="0"/>
                      <a:ext cx="3566160" cy="17145"/>
                    </a:xfrm>
                    <a:prstGeom prst="rect">
                      <a:avLst/>
                    </a:prstGeom>
                    <a:noFill/>
                  </pic:spPr>
                </pic:pic>
              </a:graphicData>
            </a:graphic>
          </wp:anchor>
        </w:drawing>
        <w:drawing>
          <wp:anchor simplePos="0" relativeHeight="251657728" behindDoc="1" locked="0" layoutInCell="0" allowOverlap="1">
            <wp:simplePos x="0" y="0"/>
            <wp:positionH relativeFrom="column">
              <wp:posOffset>1792605</wp:posOffset>
            </wp:positionH>
            <wp:positionV relativeFrom="paragraph">
              <wp:posOffset>-127635</wp:posOffset>
            </wp:positionV>
            <wp:extent cx="356616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Security or Other Taxpayer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Identification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2074545</wp:posOffset>
            </wp:positionH>
            <wp:positionV relativeFrom="paragraph">
              <wp:posOffset>-2540</wp:posOffset>
            </wp:positionV>
            <wp:extent cx="506285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0">
                      <a:extLst>
                        <a:ext uri="{28A0092B-C50C-407E-A947-70E740481C1C}"/>
                      </a:extLst>
                    </a:blip>
                    <a:srcRect/>
                    <a:stretch>
                      <a:fillRect/>
                    </a:stretch>
                  </pic:blipFill>
                  <pic:spPr bwMode="auto">
                    <a:xfrm>
                      <a:off x="0" y="0"/>
                      <a:ext cx="5062855" cy="1714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356616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Signatures must be guaranteed by a participant in the Securities Transfer Agent Medallion Program, the Stock Exchanges Medallion Program or the New York Stock Exchange, Inc. Medallion Signature Program.</w:t>
      </w:r>
    </w:p>
    <w:p>
      <w:pPr>
        <w:spacing w:after="0" w:line="37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020"/>
          </w:cols>
          <w:pgMar w:left="320" w:top="899" w:right="559" w:bottom="1440" w:gutter="0" w:footer="0" w:header="0"/>
        </w:sectPr>
      </w:pPr>
    </w:p>
    <w:bookmarkStart w:id="166" w:name="page167"/>
    <w:bookmarkEnd w:id="166"/>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EXHIBIT E</w:t>
      </w: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[Form of Warrant]</w:t>
      </w:r>
    </w:p>
    <w:p>
      <w:pPr>
        <w:spacing w:after="0" w:line="224"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b w:val="1"/>
          <w:bCs w:val="1"/>
          <w:color w:val="auto"/>
        </w:rPr>
        <w:t>[UNLESS THIS CERTIFICATE IS PRESENTED BY AN AUTHORIZED REPRESENTATIVE OF THE HOLDER, TO THE ISSUER OR ITS AGENT FOR REGISTRATION OF TRANSFER, EXCHANGE, OR PAYMENT, ANY TRANSFER, PLEDGE OR OTHER USE HEREOF FOR VALUE OR OTHERWISE BY OR TO ANY PERSON IS WRONGFUL INASMUCH AS HOLDER HAS AN INTEREST HEREIN.]</w:t>
      </w:r>
    </w:p>
    <w:p>
      <w:pPr>
        <w:sectPr>
          <w:pgSz w:w="11900" w:h="16838" w:orient="portrait"/>
          <w:cols w:equalWidth="0" w:num="1">
            <w:col w:w="11160"/>
          </w:cols>
          <w:pgMar w:left="320" w:top="898" w:right="419" w:bottom="1440" w:gutter="0" w:footer="0" w:header="0"/>
        </w:sectPr>
      </w:pP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No.: 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Number of Warrants: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 Date: November 28, 2023</w:t>
      </w:r>
    </w:p>
    <w:p>
      <w:pPr>
        <w:spacing w:after="0" w:line="200" w:lineRule="exact"/>
        <w:rPr>
          <w:sz w:val="20"/>
          <w:szCs w:val="20"/>
          <w:color w:val="auto"/>
        </w:rPr>
      </w:pPr>
    </w:p>
    <w:p>
      <w:pPr>
        <w:sectPr>
          <w:pgSz w:w="11900" w:h="16838" w:orient="portrait"/>
          <w:cols w:equalWidth="0" w:num="2">
            <w:col w:w="4680" w:space="720"/>
            <w:col w:w="5760"/>
          </w:cols>
          <w:pgMar w:left="320" w:top="898" w:right="419" w:bottom="1440" w:gutter="0" w:footer="0" w:header="0"/>
          <w:type w:val="continuous"/>
        </w:sectPr>
      </w:pPr>
    </w:p>
    <w:p>
      <w:pPr>
        <w:spacing w:after="0" w:line="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WARRANT CERTIFICATE</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NOT EXERCISABLE AFTER MAY 31, 2024</w:t>
      </w:r>
    </w:p>
    <w:p>
      <w:pPr>
        <w:sectPr>
          <w:pgSz w:w="11900" w:h="16838" w:orient="portrait"/>
          <w:cols w:equalWidth="0" w:num="1">
            <w:col w:w="11160"/>
          </w:cols>
          <w:pgMar w:left="320" w:top="898" w:right="419" w:bottom="1440" w:gutter="0" w:footer="0" w:header="0"/>
          <w:type w:val="continuous"/>
        </w:sectPr>
      </w:pPr>
    </w:p>
    <w:p>
      <w:pPr>
        <w:spacing w:after="0" w:line="213"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This certifies that [●] (“Holder”), or its registered assigns, is the registered owner of the number of Warrants set forth above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Each Warrant entitles its registered holder to purchase from Incannex Healthcare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at any time prior to 5:00 P.M. (New York City time) on May 31, 2024, one share of common stock, par value $0.0001 per share, of the Company (each, a “</w:t>
      </w:r>
      <w:r>
        <w:rPr>
          <w:rFonts w:ascii="Times New Roman" w:cs="Times New Roman" w:eastAsia="Times New Roman" w:hAnsi="Times New Roman"/>
          <w:sz w:val="18"/>
          <w:szCs w:val="18"/>
          <w:b w:val="1"/>
          <w:bCs w:val="1"/>
          <w:color w:val="auto"/>
        </w:rPr>
        <w:t>Warrant Share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at an exercise price of $65.75 per Warrant Share, subject to possible adjustments as provided in the Warrant Agency Agreement (as defined below).</w:t>
      </w:r>
    </w:p>
    <w:p>
      <w:pPr>
        <w:spacing w:after="0" w:line="18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terms and conditions of the Warrants and the rights and obligations of the holder of this Warrant Certificate are set forth in the Warrant Agency Agreement, dated as of December 29, 2023 (the “</w:t>
      </w:r>
      <w:r>
        <w:rPr>
          <w:rFonts w:ascii="Times New Roman" w:cs="Times New Roman" w:eastAsia="Times New Roman" w:hAnsi="Times New Roman"/>
          <w:sz w:val="18"/>
          <w:szCs w:val="18"/>
          <w:b w:val="1"/>
          <w:bCs w:val="1"/>
          <w:color w:val="auto"/>
        </w:rPr>
        <w:t>Warrant Agency Agreement</w:t>
      </w:r>
      <w:r>
        <w:rPr>
          <w:rFonts w:ascii="Times New Roman" w:cs="Times New Roman" w:eastAsia="Times New Roman" w:hAnsi="Times New Roman"/>
          <w:sz w:val="18"/>
          <w:szCs w:val="18"/>
          <w:color w:val="auto"/>
        </w:rPr>
        <w:t>”) between the Company and Computershare Trust Company, N.A. and Computershare Inc. (jointly, the “</w:t>
      </w:r>
      <w:r>
        <w:rPr>
          <w:rFonts w:ascii="Times New Roman" w:cs="Times New Roman" w:eastAsia="Times New Roman" w:hAnsi="Times New Roman"/>
          <w:sz w:val="18"/>
          <w:szCs w:val="18"/>
          <w:b w:val="1"/>
          <w:bCs w:val="1"/>
          <w:color w:val="auto"/>
        </w:rPr>
        <w:t>Warrant Agent</w:t>
      </w:r>
      <w:r>
        <w:rPr>
          <w:rFonts w:ascii="Times New Roman" w:cs="Times New Roman" w:eastAsia="Times New Roman" w:hAnsi="Times New Roman"/>
          <w:sz w:val="18"/>
          <w:szCs w:val="18"/>
          <w:color w:val="auto"/>
        </w:rPr>
        <w:t>”), which Warrant Agency Agreement is hereby incorporated by reference in and made a part of this Warrant Certificate. A copy of the Warrant Agency Agreement is available for inspection during business hours at the office of the Warrant Agent. Defined terms used in this Warrant Certificate but not defined herein shall have the meanings given to them in the Warrant Agency Agreement. In the event of any discrepancy or inconsistency between the terms and conditions of the Warrant Agency Agreement, the terms and conditions of the Warrant Certificate shall prevail, govern and control; provided that the terms of the Warrant Agency Agreement control and supersede any provision in the Warrant Certificate concerning the duties, liabilities, obligations and immunities of the Warrant Agent.</w:t>
      </w:r>
    </w:p>
    <w:p>
      <w:pPr>
        <w:spacing w:after="0" w:line="187" w:lineRule="exact"/>
        <w:rPr>
          <w:sz w:val="20"/>
          <w:szCs w:val="20"/>
          <w:color w:val="auto"/>
        </w:rPr>
      </w:pPr>
    </w:p>
    <w:p>
      <w:pPr>
        <w:ind w:right="320" w:firstLine="440"/>
        <w:spacing w:after="0" w:line="260" w:lineRule="auto"/>
        <w:rPr>
          <w:sz w:val="20"/>
          <w:szCs w:val="20"/>
          <w:color w:val="auto"/>
        </w:rPr>
      </w:pPr>
      <w:r>
        <w:rPr>
          <w:rFonts w:ascii="Times New Roman" w:cs="Times New Roman" w:eastAsia="Times New Roman" w:hAnsi="Times New Roman"/>
          <w:sz w:val="18"/>
          <w:szCs w:val="18"/>
          <w:color w:val="auto"/>
        </w:rPr>
        <w:t>The Company and the Warrant Agent may deem and treat the registered Holder(s) hereof as the absolute owner(s) of this Warrant Certificate (notwithstanding any notation of ownership or other writing hereon made by anyone), for the purpose of any exercise hereof, of any distribution to the holder(s) hereof, and for all other purposes, and neither the Company nor the Warrant Agent shall be affected by any notice to the contrary. Neither the Warrants nor this Warrant Certificate entitles any holder hereof to any rights of a holder of Common Stock of the Company.</w:t>
      </w:r>
    </w:p>
    <w:p>
      <w:pPr>
        <w:spacing w:after="0" w:line="181" w:lineRule="exact"/>
        <w:rPr>
          <w:sz w:val="20"/>
          <w:szCs w:val="20"/>
          <w:color w:val="auto"/>
        </w:rPr>
      </w:pPr>
    </w:p>
    <w:p>
      <w:pPr>
        <w:ind w:right="420" w:firstLine="440"/>
        <w:spacing w:after="0" w:line="281" w:lineRule="auto"/>
        <w:rPr>
          <w:sz w:val="20"/>
          <w:szCs w:val="20"/>
          <w:color w:val="auto"/>
        </w:rPr>
      </w:pPr>
      <w:r>
        <w:rPr>
          <w:rFonts w:ascii="Times New Roman" w:cs="Times New Roman" w:eastAsia="Times New Roman" w:hAnsi="Times New Roman"/>
          <w:sz w:val="18"/>
          <w:szCs w:val="18"/>
          <w:color w:val="auto"/>
        </w:rPr>
        <w:t>This Warrant Certificate shall not be valid or obligatory for any purpose until it shall have been countersigned by an authorized signatory of the Warrant Agent.</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160"/>
          </w:cols>
          <w:pgMar w:left="320" w:top="898" w:right="419" w:bottom="1440" w:gutter="0" w:footer="0" w:header="0"/>
          <w:type w:val="continuous"/>
        </w:sectPr>
      </w:pPr>
    </w:p>
    <w:bookmarkStart w:id="167" w:name="page168"/>
    <w:bookmarkEnd w:id="167"/>
    <w:p>
      <w:pPr>
        <w:ind w:left="44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Warrant Certificate to be duly executed as of the date first written above.</w:t>
      </w:r>
    </w:p>
    <w:p>
      <w:pPr>
        <w:spacing w:after="0" w:line="22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22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4503420</wp:posOffset>
            </wp:positionH>
            <wp:positionV relativeFrom="paragraph">
              <wp:posOffset>17145</wp:posOffset>
            </wp:positionV>
            <wp:extent cx="263398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4">
                      <a:extLst>
                        <a:ext uri="{28A0092B-C50C-407E-A947-70E740481C1C}"/>
                      </a:extLst>
                    </a:blip>
                    <a:srcRect/>
                    <a:stretch>
                      <a:fillRect/>
                    </a:stretch>
                  </pic:blipFill>
                  <pic:spPr bwMode="auto">
                    <a:xfrm>
                      <a:off x="0" y="0"/>
                      <a:ext cx="2633980" cy="17145"/>
                    </a:xfrm>
                    <a:prstGeom prst="rect">
                      <a:avLst/>
                    </a:prstGeom>
                    <a:noFill/>
                  </pic:spPr>
                </pic:pic>
              </a:graphicData>
            </a:graphic>
          </wp:anchor>
        </w:drawing>
      </w:r>
    </w:p>
    <w:p>
      <w:pPr>
        <w:spacing w:after="0" w:line="15"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Joel Latham</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7"/>
          <w:szCs w:val="17"/>
          <w:color w:val="auto"/>
        </w:rPr>
        <w:t>Title: Chief Executive Officer and President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Countersigned: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COMPUTERSHARE INC. and COMPUTERSHARE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 COMPANY, 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jointly as Warrant Agent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17145</wp:posOffset>
            </wp:positionV>
            <wp:extent cx="263398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5">
                      <a:extLst>
                        <a:ext uri="{28A0092B-C50C-407E-A947-70E740481C1C}"/>
                      </a:extLst>
                    </a:blip>
                    <a:srcRect/>
                    <a:stretch>
                      <a:fillRect/>
                    </a:stretch>
                  </pic:blipFill>
                  <pic:spPr bwMode="auto">
                    <a:xfrm>
                      <a:off x="0" y="0"/>
                      <a:ext cx="2633980" cy="17145"/>
                    </a:xfrm>
                    <a:prstGeom prst="rect">
                      <a:avLst/>
                    </a:prstGeom>
                    <a:noFill/>
                  </pic:spPr>
                </pic:pic>
              </a:graphicData>
            </a:graphic>
          </wp:anchor>
        </w:drawing>
      </w:r>
    </w:p>
    <w:p>
      <w:pPr>
        <w:spacing w:after="0" w:line="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260"/>
          </w:cols>
          <w:pgMar w:left="320" w:top="902" w:right="1319" w:bottom="1440" w:gutter="0" w:footer="0" w:header="0"/>
        </w:sectPr>
      </w:pPr>
    </w:p>
    <w:bookmarkStart w:id="168" w:name="page169"/>
    <w:bookmarkEnd w:id="168"/>
    <w:p>
      <w:pPr>
        <w:jc w:val="center"/>
        <w:ind w:left="460" w:right="1800"/>
        <w:spacing w:after="0" w:line="267" w:lineRule="auto"/>
        <w:rPr>
          <w:sz w:val="20"/>
          <w:szCs w:val="20"/>
          <w:color w:val="auto"/>
        </w:rPr>
      </w:pPr>
      <w:r>
        <w:rPr>
          <w:rFonts w:ascii="Times New Roman" w:cs="Times New Roman" w:eastAsia="Times New Roman" w:hAnsi="Times New Roman"/>
          <w:sz w:val="18"/>
          <w:szCs w:val="18"/>
          <w:b w:val="1"/>
          <w:bCs w:val="1"/>
          <w:color w:val="auto"/>
        </w:rPr>
        <w:t>Exercise Notice to Warrant Certificate No. E-[●] (the “Warrant”) To be executed by the Registered Holder to Exercise this Warrant to purchase Common Stock of Incannex Healthcare Inc.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holder hereby exercises the right to purchase _________________ shares of common stock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Incannex Healthcare</w:t>
      </w:r>
    </w:p>
    <w:p>
      <w:pPr>
        <w:spacing w:after="0" w:line="31"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18"/>
          <w:szCs w:val="18"/>
          <w:color w:val="auto"/>
        </w:rPr>
        <w:t xml:space="preserve">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under the Warrant. Capitalized terms used herein and not otherwise defined shall have the respective meanings set forth in the Warrant Agent Agreement.</w:t>
      </w:r>
    </w:p>
    <w:p>
      <w:pPr>
        <w:spacing w:after="0" w:line="177" w:lineRule="exact"/>
        <w:rPr>
          <w:sz w:val="20"/>
          <w:szCs w:val="20"/>
          <w:color w:val="auto"/>
        </w:rPr>
      </w:pPr>
    </w:p>
    <w:p>
      <w:pPr>
        <w:ind w:left="180" w:hanging="172"/>
        <w:spacing w:after="0"/>
        <w:tabs>
          <w:tab w:leader="none" w:pos="1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Form of Exercise Price</w:t>
      </w:r>
      <w:r>
        <w:rPr>
          <w:rFonts w:ascii="Times New Roman" w:cs="Times New Roman" w:eastAsia="Times New Roman" w:hAnsi="Times New Roman"/>
          <w:sz w:val="18"/>
          <w:szCs w:val="18"/>
          <w:color w:val="auto"/>
        </w:rPr>
        <w:t>. The Holder intends that payment of the Exercise Price shall be made as:</w:t>
      </w:r>
    </w:p>
    <w:p>
      <w:pPr>
        <w:spacing w:after="0" w:line="224" w:lineRule="exact"/>
        <w:rPr>
          <w:rFonts w:ascii="Times New Roman" w:cs="Times New Roman" w:eastAsia="Times New Roman" w:hAnsi="Times New Roman"/>
          <w:sz w:val="18"/>
          <w:szCs w:val="18"/>
          <w:color w:val="auto"/>
        </w:rPr>
      </w:pPr>
    </w:p>
    <w:p>
      <w:pPr>
        <w:ind w:left="740" w:hanging="638"/>
        <w:spacing w:after="0"/>
        <w:tabs>
          <w:tab w:leader="none" w:pos="7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auto"/>
        </w:rPr>
        <w:t>Cash Exercise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with respect to _________________ Common Stock; and/or</w:t>
      </w:r>
    </w:p>
    <w:p>
      <w:pPr>
        <w:spacing w:after="0" w:line="227" w:lineRule="exact"/>
        <w:rPr>
          <w:rFonts w:ascii="Times New Roman" w:cs="Times New Roman" w:eastAsia="Times New Roman" w:hAnsi="Times New Roman"/>
          <w:sz w:val="18"/>
          <w:szCs w:val="18"/>
          <w:color w:val="auto"/>
        </w:rPr>
      </w:pPr>
    </w:p>
    <w:p>
      <w:pPr>
        <w:ind w:left="740" w:hanging="638"/>
        <w:spacing w:after="0"/>
        <w:tabs>
          <w:tab w:leader="none" w:pos="740"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with respect to _______________ Common Stock.</w:t>
      </w:r>
    </w:p>
    <w:p>
      <w:pPr>
        <w:spacing w:after="0" w:line="220" w:lineRule="exact"/>
        <w:rPr>
          <w:rFonts w:ascii="Times New Roman" w:cs="Times New Roman" w:eastAsia="Times New Roman" w:hAnsi="Times New Roman"/>
          <w:sz w:val="18"/>
          <w:szCs w:val="18"/>
          <w:color w:val="auto"/>
        </w:rPr>
      </w:pPr>
    </w:p>
    <w:p>
      <w:pPr>
        <w:ind w:firstLine="8"/>
        <w:spacing w:after="0" w:line="258" w:lineRule="auto"/>
        <w:tabs>
          <w:tab w:leader="none" w:pos="17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of Exercise Price</w:t>
      </w:r>
      <w:r>
        <w:rPr>
          <w:rFonts w:ascii="Times New Roman" w:cs="Times New Roman" w:eastAsia="Times New Roman" w:hAnsi="Times New Roman"/>
          <w:sz w:val="18"/>
          <w:szCs w:val="18"/>
          <w:color w:val="auto"/>
        </w:rPr>
        <w:t>. In the event that the holder has elected a Cash Exercise with respect to some or all of the Common Stock to be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hereto, the holder shall pay the Exercise Price in the sum of US$___________________ to the Company in accordance with the terms of the Warrant and the Warrant Agent Agreement and according to the wire details provided by the Warrant Agent upon request. To request wire instructions, please contact the Warrant Agent via email at Web.Queries@computershare.com or phone at 1-800-546-5141 if calling from within the United States or at +1 781-575-2765 if calling from outside the United States.</w:t>
      </w:r>
    </w:p>
    <w:p>
      <w:pPr>
        <w:spacing w:after="0" w:line="180" w:lineRule="exact"/>
        <w:rPr>
          <w:rFonts w:ascii="Times New Roman" w:cs="Times New Roman" w:eastAsia="Times New Roman" w:hAnsi="Times New Roman"/>
          <w:sz w:val="18"/>
          <w:szCs w:val="18"/>
          <w:color w:val="auto"/>
        </w:rPr>
      </w:pPr>
    </w:p>
    <w:p>
      <w:pPr>
        <w:jc w:val="both"/>
        <w:ind w:right="20" w:firstLine="8"/>
        <w:spacing w:after="0" w:line="267" w:lineRule="auto"/>
        <w:tabs>
          <w:tab w:leader="none" w:pos="17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Delivery of Warrant Shares</w:t>
      </w:r>
      <w:r>
        <w:rPr>
          <w:rFonts w:ascii="Times New Roman" w:cs="Times New Roman" w:eastAsia="Times New Roman" w:hAnsi="Times New Roman"/>
          <w:sz w:val="18"/>
          <w:szCs w:val="18"/>
          <w:color w:val="auto"/>
        </w:rPr>
        <w:t>. The Company shall deliver to the Holder __________ Warrant Shares in accordance with the terms of the Warrant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after delivery of such Warrant Shares, _____________ Warrant Shares remain subject to the Warrant. Delivery of Warrant Shares shall be made to Holder, or for its benefit, to the registered account which held the Warrant.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 of the holder of the Warrant: ________________________________________</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__________________________________________</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 of signatory and title if the investor is a legal entity: _________________________________</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_____________________________________________________________________</w:t>
      </w:r>
    </w:p>
    <w:p>
      <w:pPr>
        <w:spacing w:after="0" w:line="200" w:lineRule="exact"/>
        <w:rPr>
          <w:sz w:val="20"/>
          <w:szCs w:val="20"/>
          <w:color w:val="auto"/>
        </w:rPr>
      </w:pPr>
    </w:p>
    <w:p>
      <w:pPr>
        <w:spacing w:after="0" w:line="2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100"/>
          </w:cols>
          <w:pgMar w:left="320" w:top="898" w:right="479" w:bottom="1440" w:gutter="0" w:footer="0" w:header="0"/>
        </w:sectPr>
      </w:pPr>
    </w:p>
    <w:bookmarkStart w:id="169" w:name="page170"/>
    <w:bookmarkEnd w:id="169"/>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(To assign the foregoing warrant, execute</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this form and supply required information.</w:t>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Do not use this form to exercise the warrant.)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the undersigned registered holder hereby sells, assigns and transfers unto</w:t>
      </w:r>
    </w:p>
    <w:p>
      <w:pPr>
        <w:spacing w:after="0" w:line="22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Name of Assignee</w:t>
      </w:r>
    </w:p>
    <w:p>
      <w:pPr>
        <w:spacing w:after="0" w:line="206"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Mailing Address and E-Mail Address of Assignee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 Warrants to purchase shares of common stock of Incannex Healthcare Inc., a Delaware corporation, evidenced by the attached Warrant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held by the undersigned, together with all right, title and interest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3295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2600"/>
        <w:spacing w:after="0"/>
        <w:tabs>
          <w:tab w:leader="none" w:pos="73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Signature of Registered Holder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Information of Registered Holder: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1792605</wp:posOffset>
            </wp:positionH>
            <wp:positionV relativeFrom="paragraph">
              <wp:posOffset>17145</wp:posOffset>
            </wp:positionV>
            <wp:extent cx="356616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9">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1792605</wp:posOffset>
            </wp:positionH>
            <wp:positionV relativeFrom="paragraph">
              <wp:posOffset>-127635</wp:posOffset>
            </wp:positionV>
            <wp:extent cx="356616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1792605</wp:posOffset>
            </wp:positionH>
            <wp:positionV relativeFrom="paragraph">
              <wp:posOffset>25400</wp:posOffset>
            </wp:positionV>
            <wp:extent cx="356616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1">
                      <a:extLst>
                        <a:ext uri="{28A0092B-C50C-407E-A947-70E740481C1C}"/>
                      </a:extLst>
                    </a:blip>
                    <a:srcRect/>
                    <a:stretch>
                      <a:fillRect/>
                    </a:stretch>
                  </pic:blipFill>
                  <pic:spPr bwMode="auto">
                    <a:xfrm>
                      <a:off x="0" y="0"/>
                      <a:ext cx="3566160" cy="17145"/>
                    </a:xfrm>
                    <a:prstGeom prst="rect">
                      <a:avLst/>
                    </a:prstGeom>
                    <a:noFill/>
                  </pic:spPr>
                </pic:pic>
              </a:graphicData>
            </a:graphic>
          </wp:anchor>
        </w:drawing>
        <w:drawing>
          <wp:anchor simplePos="0" relativeHeight="251657728" behindDoc="1" locked="0" layoutInCell="0" allowOverlap="1">
            <wp:simplePos x="0" y="0"/>
            <wp:positionH relativeFrom="column">
              <wp:posOffset>1792605</wp:posOffset>
            </wp:positionH>
            <wp:positionV relativeFrom="paragraph">
              <wp:posOffset>-127635</wp:posOffset>
            </wp:positionV>
            <wp:extent cx="356616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Security or Other Taxpayer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Identification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2074545</wp:posOffset>
            </wp:positionH>
            <wp:positionV relativeFrom="paragraph">
              <wp:posOffset>-2540</wp:posOffset>
            </wp:positionV>
            <wp:extent cx="506285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3">
                      <a:extLst>
                        <a:ext uri="{28A0092B-C50C-407E-A947-70E740481C1C}"/>
                      </a:extLst>
                    </a:blip>
                    <a:srcRect/>
                    <a:stretch>
                      <a:fillRect/>
                    </a:stretch>
                  </pic:blipFill>
                  <pic:spPr bwMode="auto">
                    <a:xfrm>
                      <a:off x="0" y="0"/>
                      <a:ext cx="5062855" cy="1714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356616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Signatures must be guaranteed by a participant in the Securities Transfer Agent Medallion Program, the Stock Exchanges Medallion Program or the New York Stock Exchange, Inc. Medallion Signature Program.</w:t>
      </w:r>
    </w:p>
    <w:p>
      <w:pPr>
        <w:spacing w:after="0" w:line="37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020"/>
          </w:cols>
          <w:pgMar w:left="320" w:top="898" w:right="559" w:bottom="1440" w:gutter="0" w:footer="0" w:header="0"/>
        </w:sectPr>
      </w:pPr>
    </w:p>
    <w:bookmarkStart w:id="170" w:name="page171"/>
    <w:bookmarkEnd w:id="170"/>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EXHIBIT F</w:t>
      </w: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[Form of Warrant]</w:t>
      </w:r>
    </w:p>
    <w:p>
      <w:pPr>
        <w:spacing w:after="0" w:line="224"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b w:val="1"/>
          <w:bCs w:val="1"/>
          <w:color w:val="auto"/>
        </w:rPr>
        <w:t>[UNLESS THIS CERTIFICATE IS PRESENTED BY AN AUTHORIZED REPRESENTATIVE OF THE HOLDER, TO THE ISSUER OR ITS AGENT FOR REGISTRATION OF TRANSFER, EXCHANGE, OR PAYMENT, ANY TRANSFER, PLEDGE OR OTHER USE HEREOF FOR VALUE OR OTHERWISE BY OR TO ANY PERSON IS WRONGFUL INASMUCH AS HOLDER HAS AN INTEREST HEREIN.]</w:t>
      </w:r>
    </w:p>
    <w:p>
      <w:pPr>
        <w:sectPr>
          <w:pgSz w:w="11900" w:h="16838" w:orient="portrait"/>
          <w:cols w:equalWidth="0" w:num="1">
            <w:col w:w="11160"/>
          </w:cols>
          <w:pgMar w:left="320" w:top="899" w:right="419" w:bottom="1440" w:gutter="0" w:footer="0" w:header="0"/>
        </w:sectPr>
      </w:pP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No.: 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Number of Warrants: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 Date: November 28, 2023</w:t>
      </w:r>
    </w:p>
    <w:p>
      <w:pPr>
        <w:spacing w:after="0" w:line="200" w:lineRule="exact"/>
        <w:rPr>
          <w:sz w:val="20"/>
          <w:szCs w:val="20"/>
          <w:color w:val="auto"/>
        </w:rPr>
      </w:pPr>
    </w:p>
    <w:p>
      <w:pPr>
        <w:sectPr>
          <w:pgSz w:w="11900" w:h="16838" w:orient="portrait"/>
          <w:cols w:equalWidth="0" w:num="2">
            <w:col w:w="4900" w:space="720"/>
            <w:col w:w="5540"/>
          </w:cols>
          <w:pgMar w:left="320" w:top="899" w:right="419" w:bottom="1440" w:gutter="0" w:footer="0" w:header="0"/>
          <w:type w:val="continuous"/>
        </w:sectPr>
      </w:pPr>
    </w:p>
    <w:p>
      <w:pPr>
        <w:spacing w:after="0" w:line="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WARRANT CERTIFICATE</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NOT EXERCISABLE AFTER MAY 31, 2024</w:t>
      </w:r>
    </w:p>
    <w:p>
      <w:pPr>
        <w:sectPr>
          <w:pgSz w:w="11900" w:h="16838" w:orient="portrait"/>
          <w:cols w:equalWidth="0" w:num="1">
            <w:col w:w="11160"/>
          </w:cols>
          <w:pgMar w:left="320" w:top="899" w:right="419" w:bottom="1440" w:gutter="0" w:footer="0" w:header="0"/>
          <w:type w:val="continuous"/>
        </w:sectPr>
      </w:pPr>
    </w:p>
    <w:p>
      <w:pPr>
        <w:spacing w:after="0" w:line="213"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This certifies that [●] (“Holder”), or its registered assigns, is the registered owner of the number of Warrants set forth above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Each Warrant entitles its registered holder to purchase from Incannex Healthcare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at any time prior to 5:00 P.M. (New York City time) on May 31, 2024, one share of common stock, par value $0.0001 per share, of the Company (each, a “</w:t>
      </w:r>
      <w:r>
        <w:rPr>
          <w:rFonts w:ascii="Times New Roman" w:cs="Times New Roman" w:eastAsia="Times New Roman" w:hAnsi="Times New Roman"/>
          <w:sz w:val="18"/>
          <w:szCs w:val="18"/>
          <w:b w:val="1"/>
          <w:bCs w:val="1"/>
          <w:color w:val="auto"/>
        </w:rPr>
        <w:t>Warrant Share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at an exercise price of $98.63 per Warrant Share, subject to possible adjustments as provided in the Warrant Agency Agreement (as defined below).</w:t>
      </w:r>
    </w:p>
    <w:p>
      <w:pPr>
        <w:spacing w:after="0" w:line="18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terms and conditions of the Warrants and the rights and obligations of the holder of this Warrant Certificate are set forth in the Warrant Agency Agreement, dated as of December 29, 2023 (the “</w:t>
      </w:r>
      <w:r>
        <w:rPr>
          <w:rFonts w:ascii="Times New Roman" w:cs="Times New Roman" w:eastAsia="Times New Roman" w:hAnsi="Times New Roman"/>
          <w:sz w:val="18"/>
          <w:szCs w:val="18"/>
          <w:b w:val="1"/>
          <w:bCs w:val="1"/>
          <w:color w:val="auto"/>
        </w:rPr>
        <w:t>Warrant Agency Agreement</w:t>
      </w:r>
      <w:r>
        <w:rPr>
          <w:rFonts w:ascii="Times New Roman" w:cs="Times New Roman" w:eastAsia="Times New Roman" w:hAnsi="Times New Roman"/>
          <w:sz w:val="18"/>
          <w:szCs w:val="18"/>
          <w:color w:val="auto"/>
        </w:rPr>
        <w:t>”) between the Company and Computershare Trust Company, N.A. and Computershare Inc. (jointly, the “</w:t>
      </w:r>
      <w:r>
        <w:rPr>
          <w:rFonts w:ascii="Times New Roman" w:cs="Times New Roman" w:eastAsia="Times New Roman" w:hAnsi="Times New Roman"/>
          <w:sz w:val="18"/>
          <w:szCs w:val="18"/>
          <w:b w:val="1"/>
          <w:bCs w:val="1"/>
          <w:color w:val="auto"/>
        </w:rPr>
        <w:t>Warrant Agent</w:t>
      </w:r>
      <w:r>
        <w:rPr>
          <w:rFonts w:ascii="Times New Roman" w:cs="Times New Roman" w:eastAsia="Times New Roman" w:hAnsi="Times New Roman"/>
          <w:sz w:val="18"/>
          <w:szCs w:val="18"/>
          <w:color w:val="auto"/>
        </w:rPr>
        <w:t>”), which Warrant Agency Agreement is hereby incorporated by reference in and made a part of this Warrant Certificate. A copy of the Warrant Agency Agreement is available for inspection during business hours at the office of the Warrant Agent. Defined terms used in this Warrant Certificate but not defined herein shall have the meanings given to them in the Warrant Agency Agreement. In the event of any discrepancy or inconsistency between the terms and conditions of the Warrant Agency Agreement, the terms and conditions of the Warrant Certificate shall prevail, govern and control; provided that the terms of the Warrant Agency Agreement control and supersede any provision in the Warrant Certificate concerning the duties, liabilities, obligations and immunities of the Warrant Agent.</w:t>
      </w:r>
    </w:p>
    <w:p>
      <w:pPr>
        <w:spacing w:after="0" w:line="187" w:lineRule="exact"/>
        <w:rPr>
          <w:sz w:val="20"/>
          <w:szCs w:val="20"/>
          <w:color w:val="auto"/>
        </w:rPr>
      </w:pPr>
    </w:p>
    <w:p>
      <w:pPr>
        <w:ind w:right="320" w:firstLine="440"/>
        <w:spacing w:after="0" w:line="260" w:lineRule="auto"/>
        <w:rPr>
          <w:sz w:val="20"/>
          <w:szCs w:val="20"/>
          <w:color w:val="auto"/>
        </w:rPr>
      </w:pPr>
      <w:r>
        <w:rPr>
          <w:rFonts w:ascii="Times New Roman" w:cs="Times New Roman" w:eastAsia="Times New Roman" w:hAnsi="Times New Roman"/>
          <w:sz w:val="18"/>
          <w:szCs w:val="18"/>
          <w:color w:val="auto"/>
        </w:rPr>
        <w:t>The Company and the Warrant Agent may deem and treat the registered Holder(s) hereof as the absolute owner(s) of this Warrant Certificate (notwithstanding any notation of ownership or other writing hereon made by anyone), for the purpose of any exercise hereof, of any distribution to the holder(s) hereof, and for all other purposes, and neither the Company nor the Warrant Agent shall be affected by any notice to the contrary. Neither the Warrants nor this Warrant Certificate entitles any holder hereof to any rights of a holder of Common Stock of the Company.</w:t>
      </w:r>
    </w:p>
    <w:p>
      <w:pPr>
        <w:spacing w:after="0" w:line="181" w:lineRule="exact"/>
        <w:rPr>
          <w:sz w:val="20"/>
          <w:szCs w:val="20"/>
          <w:color w:val="auto"/>
        </w:rPr>
      </w:pPr>
    </w:p>
    <w:p>
      <w:pPr>
        <w:ind w:right="420" w:firstLine="440"/>
        <w:spacing w:after="0" w:line="281" w:lineRule="auto"/>
        <w:rPr>
          <w:sz w:val="20"/>
          <w:szCs w:val="20"/>
          <w:color w:val="auto"/>
        </w:rPr>
      </w:pPr>
      <w:r>
        <w:rPr>
          <w:rFonts w:ascii="Times New Roman" w:cs="Times New Roman" w:eastAsia="Times New Roman" w:hAnsi="Times New Roman"/>
          <w:sz w:val="18"/>
          <w:szCs w:val="18"/>
          <w:color w:val="auto"/>
        </w:rPr>
        <w:t>This Warrant Certificate shall not be valid or obligatory for any purpose until it shall have been countersigned by an authorized signatory of the Warrant Agent.</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160"/>
          </w:cols>
          <w:pgMar w:left="320" w:top="899" w:right="419" w:bottom="1440" w:gutter="0" w:footer="0" w:header="0"/>
          <w:type w:val="continuous"/>
        </w:sectPr>
      </w:pPr>
    </w:p>
    <w:bookmarkStart w:id="171" w:name="page172"/>
    <w:bookmarkEnd w:id="171"/>
    <w:p>
      <w:pPr>
        <w:ind w:left="44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Warrant Certificate to be duly executed as of the date first written above.</w:t>
      </w:r>
    </w:p>
    <w:p>
      <w:pPr>
        <w:spacing w:after="0" w:line="22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22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4503420</wp:posOffset>
            </wp:positionH>
            <wp:positionV relativeFrom="paragraph">
              <wp:posOffset>17145</wp:posOffset>
            </wp:positionV>
            <wp:extent cx="263398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7">
                      <a:extLst>
                        <a:ext uri="{28A0092B-C50C-407E-A947-70E740481C1C}"/>
                      </a:extLst>
                    </a:blip>
                    <a:srcRect/>
                    <a:stretch>
                      <a:fillRect/>
                    </a:stretch>
                  </pic:blipFill>
                  <pic:spPr bwMode="auto">
                    <a:xfrm>
                      <a:off x="0" y="0"/>
                      <a:ext cx="2633980" cy="17145"/>
                    </a:xfrm>
                    <a:prstGeom prst="rect">
                      <a:avLst/>
                    </a:prstGeom>
                    <a:noFill/>
                  </pic:spPr>
                </pic:pic>
              </a:graphicData>
            </a:graphic>
          </wp:anchor>
        </w:drawing>
      </w:r>
    </w:p>
    <w:p>
      <w:pPr>
        <w:spacing w:after="0" w:line="15"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Joel Latham</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7"/>
          <w:szCs w:val="17"/>
          <w:color w:val="auto"/>
        </w:rPr>
        <w:t>Title: Chief Executive Officer and President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Countersigned: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COMPUTERSHARE INC. and COMPUTERSHARE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 COMPANY, 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jointly as Warrant Agent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17145</wp:posOffset>
            </wp:positionV>
            <wp:extent cx="263398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8">
                      <a:extLst>
                        <a:ext uri="{28A0092B-C50C-407E-A947-70E740481C1C}"/>
                      </a:extLst>
                    </a:blip>
                    <a:srcRect/>
                    <a:stretch>
                      <a:fillRect/>
                    </a:stretch>
                  </pic:blipFill>
                  <pic:spPr bwMode="auto">
                    <a:xfrm>
                      <a:off x="0" y="0"/>
                      <a:ext cx="2633980" cy="17145"/>
                    </a:xfrm>
                    <a:prstGeom prst="rect">
                      <a:avLst/>
                    </a:prstGeom>
                    <a:noFill/>
                  </pic:spPr>
                </pic:pic>
              </a:graphicData>
            </a:graphic>
          </wp:anchor>
        </w:drawing>
      </w:r>
    </w:p>
    <w:p>
      <w:pPr>
        <w:spacing w:after="0" w:line="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260"/>
          </w:cols>
          <w:pgMar w:left="320" w:top="902" w:right="1319" w:bottom="1440" w:gutter="0" w:footer="0" w:header="0"/>
        </w:sectPr>
      </w:pPr>
    </w:p>
    <w:bookmarkStart w:id="172" w:name="page173"/>
    <w:bookmarkEnd w:id="172"/>
    <w:p>
      <w:pPr>
        <w:jc w:val="center"/>
        <w:ind w:left="460" w:right="1800"/>
        <w:spacing w:after="0" w:line="267" w:lineRule="auto"/>
        <w:rPr>
          <w:sz w:val="20"/>
          <w:szCs w:val="20"/>
          <w:color w:val="auto"/>
        </w:rPr>
      </w:pPr>
      <w:r>
        <w:rPr>
          <w:rFonts w:ascii="Times New Roman" w:cs="Times New Roman" w:eastAsia="Times New Roman" w:hAnsi="Times New Roman"/>
          <w:sz w:val="18"/>
          <w:szCs w:val="18"/>
          <w:b w:val="1"/>
          <w:bCs w:val="1"/>
          <w:color w:val="auto"/>
        </w:rPr>
        <w:t>Exercise Notice to Warrant Certificate No. F-[●] (the “Warrant”) To be executed by the Registered Holder to Exercise this Warrant to purchase Common Stock of Incannex Healthcare Inc.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holder hereby exercises the right to purchase _________________ shares of common stock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Incannex Healthcare</w:t>
      </w:r>
    </w:p>
    <w:p>
      <w:pPr>
        <w:spacing w:after="0" w:line="31"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18"/>
          <w:szCs w:val="18"/>
          <w:color w:val="auto"/>
        </w:rPr>
        <w:t xml:space="preserve">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under the Warrant. Capitalized terms used herein and not otherwise defined shall have the respective meanings set forth in the Warrant Agent Agreement.</w:t>
      </w:r>
    </w:p>
    <w:p>
      <w:pPr>
        <w:spacing w:after="0" w:line="177" w:lineRule="exact"/>
        <w:rPr>
          <w:sz w:val="20"/>
          <w:szCs w:val="20"/>
          <w:color w:val="auto"/>
        </w:rPr>
      </w:pPr>
    </w:p>
    <w:p>
      <w:pPr>
        <w:ind w:left="180" w:hanging="172"/>
        <w:spacing w:after="0"/>
        <w:tabs>
          <w:tab w:leader="none" w:pos="18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Form of Exercise Price</w:t>
      </w:r>
      <w:r>
        <w:rPr>
          <w:rFonts w:ascii="Times New Roman" w:cs="Times New Roman" w:eastAsia="Times New Roman" w:hAnsi="Times New Roman"/>
          <w:sz w:val="18"/>
          <w:szCs w:val="18"/>
          <w:color w:val="auto"/>
        </w:rPr>
        <w:t>. The Holder intends that payment of the Exercise Price shall be made as:</w:t>
      </w:r>
    </w:p>
    <w:p>
      <w:pPr>
        <w:spacing w:after="0" w:line="223" w:lineRule="exact"/>
        <w:rPr>
          <w:rFonts w:ascii="Times New Roman" w:cs="Times New Roman" w:eastAsia="Times New Roman" w:hAnsi="Times New Roman"/>
          <w:sz w:val="18"/>
          <w:szCs w:val="18"/>
          <w:color w:val="auto"/>
        </w:rPr>
      </w:pPr>
    </w:p>
    <w:p>
      <w:pPr>
        <w:ind w:left="740" w:hanging="638"/>
        <w:spacing w:after="0"/>
        <w:tabs>
          <w:tab w:leader="none" w:pos="7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auto"/>
        </w:rPr>
        <w:t>Cash Exercise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with respect to _________________ Common Stock; and/or</w:t>
      </w:r>
    </w:p>
    <w:p>
      <w:pPr>
        <w:spacing w:after="0" w:line="228" w:lineRule="exact"/>
        <w:rPr>
          <w:rFonts w:ascii="Times New Roman" w:cs="Times New Roman" w:eastAsia="Times New Roman" w:hAnsi="Times New Roman"/>
          <w:sz w:val="18"/>
          <w:szCs w:val="18"/>
          <w:color w:val="auto"/>
        </w:rPr>
      </w:pPr>
    </w:p>
    <w:p>
      <w:pPr>
        <w:ind w:left="740" w:hanging="638"/>
        <w:spacing w:after="0"/>
        <w:tabs>
          <w:tab w:leader="none" w:pos="740"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with respect to _______________ Common Stock.</w:t>
      </w:r>
    </w:p>
    <w:p>
      <w:pPr>
        <w:spacing w:after="0" w:line="220" w:lineRule="exact"/>
        <w:rPr>
          <w:rFonts w:ascii="Times New Roman" w:cs="Times New Roman" w:eastAsia="Times New Roman" w:hAnsi="Times New Roman"/>
          <w:sz w:val="18"/>
          <w:szCs w:val="18"/>
          <w:color w:val="auto"/>
        </w:rPr>
      </w:pPr>
    </w:p>
    <w:p>
      <w:pPr>
        <w:ind w:firstLine="8"/>
        <w:spacing w:after="0" w:line="258" w:lineRule="auto"/>
        <w:tabs>
          <w:tab w:leader="none" w:pos="17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of Exercise Price</w:t>
      </w:r>
      <w:r>
        <w:rPr>
          <w:rFonts w:ascii="Times New Roman" w:cs="Times New Roman" w:eastAsia="Times New Roman" w:hAnsi="Times New Roman"/>
          <w:sz w:val="18"/>
          <w:szCs w:val="18"/>
          <w:color w:val="auto"/>
        </w:rPr>
        <w:t>. In the event that the holder has elected a Cash Exercise with respect to some or all of the Common Stock to be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hereto, the holder shall pay the Exercise Price in the sum of US$___________________ to the Company in accordance with the terms of the Warrant and the Warrant Agent Agreement and according to the wire details provided by the Warrant Agent upon request. To request wire instructions, please contact the Warrant Agent via email at Web.Queries@computershare.com or phone at 1-800-546-5141 if calling from within the United States or at +1 781-575-2765 if calling from outside the United States.</w:t>
      </w:r>
    </w:p>
    <w:p>
      <w:pPr>
        <w:spacing w:after="0" w:line="180" w:lineRule="exact"/>
        <w:rPr>
          <w:rFonts w:ascii="Times New Roman" w:cs="Times New Roman" w:eastAsia="Times New Roman" w:hAnsi="Times New Roman"/>
          <w:sz w:val="18"/>
          <w:szCs w:val="18"/>
          <w:color w:val="auto"/>
        </w:rPr>
      </w:pPr>
    </w:p>
    <w:p>
      <w:pPr>
        <w:jc w:val="both"/>
        <w:ind w:right="20" w:firstLine="8"/>
        <w:spacing w:after="0" w:line="267" w:lineRule="auto"/>
        <w:tabs>
          <w:tab w:leader="none" w:pos="17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Delivery of Warrant Shares</w:t>
      </w:r>
      <w:r>
        <w:rPr>
          <w:rFonts w:ascii="Times New Roman" w:cs="Times New Roman" w:eastAsia="Times New Roman" w:hAnsi="Times New Roman"/>
          <w:sz w:val="18"/>
          <w:szCs w:val="18"/>
          <w:color w:val="auto"/>
        </w:rPr>
        <w:t>. The Company shall deliver to the Holder __________ Warrant Shares in accordance with the terms of the Warrant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after delivery of such Warrant Shares, _____________ Warrant Shares remain subject to the Warrant. Delivery of Warrant Shares shall be made to Holder, or for its benefit, to the registered account which held the Warrant.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 of the holder of the Warrant: ________________________________________</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__________________________________________</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 of signatory and title if the investor is a legal entity: _________________________________</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_____________________________________________________________________</w:t>
      </w:r>
    </w:p>
    <w:p>
      <w:pPr>
        <w:spacing w:after="0" w:line="200" w:lineRule="exact"/>
        <w:rPr>
          <w:sz w:val="20"/>
          <w:szCs w:val="20"/>
          <w:color w:val="auto"/>
        </w:rPr>
      </w:pPr>
    </w:p>
    <w:p>
      <w:pPr>
        <w:spacing w:after="0" w:line="2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100"/>
          </w:cols>
          <w:pgMar w:left="320" w:top="898" w:right="479" w:bottom="1440" w:gutter="0" w:footer="0" w:header="0"/>
        </w:sectPr>
      </w:pPr>
    </w:p>
    <w:bookmarkStart w:id="173" w:name="page174"/>
    <w:bookmarkEnd w:id="173"/>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(To assign the foregoing warrant, execute</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this form and supply required information.</w:t>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Do not use this form to exercise the warrant.)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the undersigned registered holder hereby sells, assigns and transfers unto</w:t>
      </w:r>
    </w:p>
    <w:p>
      <w:pPr>
        <w:spacing w:after="0" w:line="22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Name of Assignee</w:t>
      </w:r>
    </w:p>
    <w:p>
      <w:pPr>
        <w:spacing w:after="0" w:line="206"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Mailing Address and E-Mail Address of Assignee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 Warrants to purchase shares of common stock of Incannex Healthcare Inc., a Delaware corporation, evidenced by the attached Warrant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held by the undersigned, together with all right, title and interest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3295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2600"/>
        <w:spacing w:after="0"/>
        <w:tabs>
          <w:tab w:leader="none" w:pos="73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Signature of Registered Holder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Information of Registered Holder: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1792605</wp:posOffset>
            </wp:positionH>
            <wp:positionV relativeFrom="paragraph">
              <wp:posOffset>17145</wp:posOffset>
            </wp:positionV>
            <wp:extent cx="356616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1792605</wp:posOffset>
            </wp:positionH>
            <wp:positionV relativeFrom="paragraph">
              <wp:posOffset>-127635</wp:posOffset>
            </wp:positionV>
            <wp:extent cx="356616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1792605</wp:posOffset>
            </wp:positionH>
            <wp:positionV relativeFrom="paragraph">
              <wp:posOffset>25400</wp:posOffset>
            </wp:positionV>
            <wp:extent cx="356616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4">
                      <a:extLst>
                        <a:ext uri="{28A0092B-C50C-407E-A947-70E740481C1C}"/>
                      </a:extLst>
                    </a:blip>
                    <a:srcRect/>
                    <a:stretch>
                      <a:fillRect/>
                    </a:stretch>
                  </pic:blipFill>
                  <pic:spPr bwMode="auto">
                    <a:xfrm>
                      <a:off x="0" y="0"/>
                      <a:ext cx="3566160" cy="17145"/>
                    </a:xfrm>
                    <a:prstGeom prst="rect">
                      <a:avLst/>
                    </a:prstGeom>
                    <a:noFill/>
                  </pic:spPr>
                </pic:pic>
              </a:graphicData>
            </a:graphic>
          </wp:anchor>
        </w:drawing>
        <w:drawing>
          <wp:anchor simplePos="0" relativeHeight="251657728" behindDoc="1" locked="0" layoutInCell="0" allowOverlap="1">
            <wp:simplePos x="0" y="0"/>
            <wp:positionH relativeFrom="column">
              <wp:posOffset>1792605</wp:posOffset>
            </wp:positionH>
            <wp:positionV relativeFrom="paragraph">
              <wp:posOffset>-127635</wp:posOffset>
            </wp:positionV>
            <wp:extent cx="356616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Security or Other Taxpayer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Identification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2074545</wp:posOffset>
            </wp:positionH>
            <wp:positionV relativeFrom="paragraph">
              <wp:posOffset>-2540</wp:posOffset>
            </wp:positionV>
            <wp:extent cx="506285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6">
                      <a:extLst>
                        <a:ext uri="{28A0092B-C50C-407E-A947-70E740481C1C}"/>
                      </a:extLst>
                    </a:blip>
                    <a:srcRect/>
                    <a:stretch>
                      <a:fillRect/>
                    </a:stretch>
                  </pic:blipFill>
                  <pic:spPr bwMode="auto">
                    <a:xfrm>
                      <a:off x="0" y="0"/>
                      <a:ext cx="5062855" cy="1714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356616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Signatures must be guaranteed by a participant in the Securities Transfer Agent Medallion Program, the Stock Exchanges Medallion Program or the New York Stock Exchange, Inc. Medallion Signature Program.</w:t>
      </w:r>
    </w:p>
    <w:p>
      <w:pPr>
        <w:spacing w:after="0" w:line="37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020"/>
          </w:cols>
          <w:pgMar w:left="320" w:top="899" w:right="559" w:bottom="1440" w:gutter="0" w:footer="0" w:header="0"/>
        </w:sectPr>
      </w:pPr>
    </w:p>
    <w:bookmarkStart w:id="174" w:name="page175"/>
    <w:bookmarkEnd w:id="174"/>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EXHIBIT G</w:t>
      </w: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[Form of Warrant]</w:t>
      </w:r>
    </w:p>
    <w:p>
      <w:pPr>
        <w:spacing w:after="0" w:line="224"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b w:val="1"/>
          <w:bCs w:val="1"/>
          <w:color w:val="auto"/>
        </w:rPr>
        <w:t>[UNLESS THIS CERTIFICATE IS PRESENTED BY AN AUTHORIZED REPRESENTATIVE OF THE HOLDER, TO THE ISSUER OR ITS AGENT FOR REGISTRATION OF TRANSFER, EXCHANGE, OR PAYMENT, ANY TRANSFER, PLEDGE OR OTHER USE HEREOF FOR VALUE OR OTHERWISE BY OR TO ANY PERSON IS WRONGFUL INASMUCH AS HOLDER HAS AN INTEREST HEREIN.]</w:t>
      </w:r>
    </w:p>
    <w:p>
      <w:pPr>
        <w:sectPr>
          <w:pgSz w:w="11900" w:h="16838" w:orient="portrait"/>
          <w:cols w:equalWidth="0" w:num="1">
            <w:col w:w="11160"/>
          </w:cols>
          <w:pgMar w:left="320" w:top="899" w:right="419" w:bottom="1440" w:gutter="0" w:footer="0" w:header="0"/>
        </w:sectPr>
      </w:pP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No.: 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Number of Warrants: [●]</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n/a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Issue Date: November 28, 2023</w:t>
      </w:r>
    </w:p>
    <w:p>
      <w:pPr>
        <w:spacing w:after="0" w:line="200" w:lineRule="exact"/>
        <w:rPr>
          <w:sz w:val="20"/>
          <w:szCs w:val="20"/>
          <w:color w:val="auto"/>
        </w:rPr>
      </w:pPr>
    </w:p>
    <w:p>
      <w:pPr>
        <w:sectPr>
          <w:pgSz w:w="11900" w:h="16838" w:orient="portrait"/>
          <w:cols w:equalWidth="0" w:num="2">
            <w:col w:w="4900" w:space="720"/>
            <w:col w:w="5540"/>
          </w:cols>
          <w:pgMar w:left="320" w:top="899" w:right="419" w:bottom="1440" w:gutter="0" w:footer="0" w:header="0"/>
          <w:type w:val="continuous"/>
        </w:sectPr>
      </w:pPr>
    </w:p>
    <w:p>
      <w:pPr>
        <w:spacing w:after="0" w:line="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WARRANT CERTIFICATE</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NOT EXERCISABLE AFTER APRIL 30, 2026</w:t>
      </w:r>
    </w:p>
    <w:p>
      <w:pPr>
        <w:sectPr>
          <w:pgSz w:w="11900" w:h="16838" w:orient="portrait"/>
          <w:cols w:equalWidth="0" w:num="1">
            <w:col w:w="11160"/>
          </w:cols>
          <w:pgMar w:left="320" w:top="899" w:right="419" w:bottom="1440" w:gutter="0" w:footer="0" w:header="0"/>
          <w:type w:val="continuous"/>
        </w:sectPr>
      </w:pPr>
    </w:p>
    <w:p>
      <w:pPr>
        <w:spacing w:after="0" w:line="213"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This certifies that [●] (“Holder”), or its registered assigns, is the registered owner of the number of Warrants set forth above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Each Warrant entitles its registered holder to purchase from Incannex Healthcare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at any time prior to 5:00 P.M. (New York City time) on April 30, 2026, one share of common stock, par value $0.0001 per share, of the Company (each, a “</w:t>
      </w:r>
      <w:r>
        <w:rPr>
          <w:rFonts w:ascii="Times New Roman" w:cs="Times New Roman" w:eastAsia="Times New Roman" w:hAnsi="Times New Roman"/>
          <w:sz w:val="18"/>
          <w:szCs w:val="18"/>
          <w:b w:val="1"/>
          <w:bCs w:val="1"/>
          <w:color w:val="auto"/>
        </w:rPr>
        <w:t>Warrant Share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Warrant Shares</w:t>
      </w:r>
      <w:r>
        <w:rPr>
          <w:rFonts w:ascii="Times New Roman" w:cs="Times New Roman" w:eastAsia="Times New Roman" w:hAnsi="Times New Roman"/>
          <w:sz w:val="18"/>
          <w:szCs w:val="18"/>
          <w:color w:val="auto"/>
        </w:rPr>
        <w:t>”), at an exercise price of $16.44 per Warrant Share, subject to possible adjustments as provided in the Warrant Agency Agreement (as defined below).</w:t>
      </w:r>
    </w:p>
    <w:p>
      <w:pPr>
        <w:spacing w:after="0" w:line="18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terms and conditions of the Warrants and the rights and obligations of the holder of this Warrant Certificate are set forth in the Warrant Agency Agreement, dated as of December 29, 2023 (the “</w:t>
      </w:r>
      <w:r>
        <w:rPr>
          <w:rFonts w:ascii="Times New Roman" w:cs="Times New Roman" w:eastAsia="Times New Roman" w:hAnsi="Times New Roman"/>
          <w:sz w:val="18"/>
          <w:szCs w:val="18"/>
          <w:b w:val="1"/>
          <w:bCs w:val="1"/>
          <w:color w:val="auto"/>
        </w:rPr>
        <w:t>Warrant Agency Agreement</w:t>
      </w:r>
      <w:r>
        <w:rPr>
          <w:rFonts w:ascii="Times New Roman" w:cs="Times New Roman" w:eastAsia="Times New Roman" w:hAnsi="Times New Roman"/>
          <w:sz w:val="18"/>
          <w:szCs w:val="18"/>
          <w:color w:val="auto"/>
        </w:rPr>
        <w:t>”) between the Company and Computershare Trust Company, N.A. and Computershare Inc. (jointly, the “</w:t>
      </w:r>
      <w:r>
        <w:rPr>
          <w:rFonts w:ascii="Times New Roman" w:cs="Times New Roman" w:eastAsia="Times New Roman" w:hAnsi="Times New Roman"/>
          <w:sz w:val="18"/>
          <w:szCs w:val="18"/>
          <w:b w:val="1"/>
          <w:bCs w:val="1"/>
          <w:color w:val="auto"/>
        </w:rPr>
        <w:t>Warrant Agent</w:t>
      </w:r>
      <w:r>
        <w:rPr>
          <w:rFonts w:ascii="Times New Roman" w:cs="Times New Roman" w:eastAsia="Times New Roman" w:hAnsi="Times New Roman"/>
          <w:sz w:val="18"/>
          <w:szCs w:val="18"/>
          <w:color w:val="auto"/>
        </w:rPr>
        <w:t>”), which Warrant Agency Agreement is hereby incorporated by reference in and made a part of this Warrant Certificate. A copy of the Warrant Agency Agreement is available for inspection during business hours at the office of the Warrant Agent. Defined terms used in this Warrant Certificate but not defined herein shall have the meanings given to them in the Warrant Agency Agreement. In the event of any discrepancy or inconsistency between the terms and conditions of the Warrant Agency Agreement, the terms and conditions of the Warrant Certificate shall prevail, govern and control; provided that the terms of the Warrant Agency Agreement control and supersede any provision in the Warrant Certificate concerning the duties, liabilities, obligations and immunities of the Warrant Agent.</w:t>
      </w:r>
    </w:p>
    <w:p>
      <w:pPr>
        <w:spacing w:after="0" w:line="187" w:lineRule="exact"/>
        <w:rPr>
          <w:sz w:val="20"/>
          <w:szCs w:val="20"/>
          <w:color w:val="auto"/>
        </w:rPr>
      </w:pPr>
    </w:p>
    <w:p>
      <w:pPr>
        <w:ind w:right="320" w:firstLine="440"/>
        <w:spacing w:after="0" w:line="260" w:lineRule="auto"/>
        <w:rPr>
          <w:sz w:val="20"/>
          <w:szCs w:val="20"/>
          <w:color w:val="auto"/>
        </w:rPr>
      </w:pPr>
      <w:r>
        <w:rPr>
          <w:rFonts w:ascii="Times New Roman" w:cs="Times New Roman" w:eastAsia="Times New Roman" w:hAnsi="Times New Roman"/>
          <w:sz w:val="18"/>
          <w:szCs w:val="18"/>
          <w:color w:val="auto"/>
        </w:rPr>
        <w:t>The Company and the Warrant Agent may deem and treat the registered Holder(s) hereof as the absolute owner(s) of this Warrant Certificate (notwithstanding any notation of ownership or other writing hereon made by anyone), for the purpose of any exercise hereof, of any distribution to the holder(s) hereof, and for all other purposes, and neither the Company nor the Warrant Agent shall be affected by any notice to the contrary. Neither the Warrants nor this Warrant Certificate entitles any holder hereof to any rights of a holder of Common Stock of the Company.</w:t>
      </w:r>
    </w:p>
    <w:p>
      <w:pPr>
        <w:spacing w:after="0" w:line="181" w:lineRule="exact"/>
        <w:rPr>
          <w:sz w:val="20"/>
          <w:szCs w:val="20"/>
          <w:color w:val="auto"/>
        </w:rPr>
      </w:pPr>
    </w:p>
    <w:p>
      <w:pPr>
        <w:ind w:right="420" w:firstLine="440"/>
        <w:spacing w:after="0" w:line="281" w:lineRule="auto"/>
        <w:rPr>
          <w:sz w:val="20"/>
          <w:szCs w:val="20"/>
          <w:color w:val="auto"/>
        </w:rPr>
      </w:pPr>
      <w:r>
        <w:rPr>
          <w:rFonts w:ascii="Times New Roman" w:cs="Times New Roman" w:eastAsia="Times New Roman" w:hAnsi="Times New Roman"/>
          <w:sz w:val="18"/>
          <w:szCs w:val="18"/>
          <w:color w:val="auto"/>
        </w:rPr>
        <w:t>This Warrant Certificate shall not be valid or obligatory for any purpose until it shall have been countersigned by an authorized signatory of the Warrant Agent.</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160"/>
          </w:cols>
          <w:pgMar w:left="320" w:top="899" w:right="419" w:bottom="1440" w:gutter="0" w:footer="0" w:header="0"/>
          <w:type w:val="continuous"/>
        </w:sectPr>
      </w:pPr>
    </w:p>
    <w:bookmarkStart w:id="175" w:name="page176"/>
    <w:bookmarkEnd w:id="175"/>
    <w:p>
      <w:pPr>
        <w:ind w:left="44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Warrant Certificate to be duly executed as of the date first written above.</w:t>
      </w:r>
    </w:p>
    <w:p>
      <w:pPr>
        <w:spacing w:after="0" w:line="22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22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4503420</wp:posOffset>
            </wp:positionH>
            <wp:positionV relativeFrom="paragraph">
              <wp:posOffset>17145</wp:posOffset>
            </wp:positionV>
            <wp:extent cx="263398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0">
                      <a:extLst>
                        <a:ext uri="{28A0092B-C50C-407E-A947-70E740481C1C}"/>
                      </a:extLst>
                    </a:blip>
                    <a:srcRect/>
                    <a:stretch>
                      <a:fillRect/>
                    </a:stretch>
                  </pic:blipFill>
                  <pic:spPr bwMode="auto">
                    <a:xfrm>
                      <a:off x="0" y="0"/>
                      <a:ext cx="2633980" cy="17145"/>
                    </a:xfrm>
                    <a:prstGeom prst="rect">
                      <a:avLst/>
                    </a:prstGeom>
                    <a:noFill/>
                  </pic:spPr>
                </pic:pic>
              </a:graphicData>
            </a:graphic>
          </wp:anchor>
        </w:drawing>
      </w:r>
    </w:p>
    <w:p>
      <w:pPr>
        <w:spacing w:after="0" w:line="15"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Name: Joel Latham</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7"/>
          <w:szCs w:val="17"/>
          <w:color w:val="auto"/>
        </w:rPr>
        <w:t>Title: Chief Executive Officer and President</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Countersigned: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COMPUTERSHARE INC. and COMPUTERSHARE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TRUST COMPANY, 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jointly as Warrant Agent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227330</wp:posOffset>
            </wp:positionH>
            <wp:positionV relativeFrom="paragraph">
              <wp:posOffset>17145</wp:posOffset>
            </wp:positionV>
            <wp:extent cx="263398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1">
                      <a:extLst>
                        <a:ext uri="{28A0092B-C50C-407E-A947-70E740481C1C}"/>
                      </a:extLst>
                    </a:blip>
                    <a:srcRect/>
                    <a:stretch>
                      <a:fillRect/>
                    </a:stretch>
                  </pic:blipFill>
                  <pic:spPr bwMode="auto">
                    <a:xfrm>
                      <a:off x="0" y="0"/>
                      <a:ext cx="2633980" cy="17145"/>
                    </a:xfrm>
                    <a:prstGeom prst="rect">
                      <a:avLst/>
                    </a:prstGeom>
                    <a:noFill/>
                  </pic:spPr>
                </pic:pic>
              </a:graphicData>
            </a:graphic>
          </wp:anchor>
        </w:drawing>
      </w:r>
    </w:p>
    <w:p>
      <w:pPr>
        <w:spacing w:after="0" w:line="1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1"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260"/>
          </w:cols>
          <w:pgMar w:left="320" w:top="902" w:right="1319" w:bottom="1440" w:gutter="0" w:footer="0" w:header="0"/>
        </w:sectPr>
      </w:pPr>
    </w:p>
    <w:bookmarkStart w:id="176" w:name="page177"/>
    <w:bookmarkEnd w:id="176"/>
    <w:p>
      <w:pPr>
        <w:jc w:val="center"/>
        <w:ind w:left="460" w:right="1800"/>
        <w:spacing w:after="0" w:line="267" w:lineRule="auto"/>
        <w:rPr>
          <w:sz w:val="20"/>
          <w:szCs w:val="20"/>
          <w:color w:val="auto"/>
        </w:rPr>
      </w:pPr>
      <w:r>
        <w:rPr>
          <w:rFonts w:ascii="Times New Roman" w:cs="Times New Roman" w:eastAsia="Times New Roman" w:hAnsi="Times New Roman"/>
          <w:sz w:val="18"/>
          <w:szCs w:val="18"/>
          <w:b w:val="1"/>
          <w:bCs w:val="1"/>
          <w:color w:val="auto"/>
        </w:rPr>
        <w:t>Exercise Notice to Warrant Certificate No. G-[●] (the “Warrant”) To be executed by the Registered Holder to Exercise this Warrant to purchase Common Stock of Incannex Healthcare Inc.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holder hereby exercises the right to purchase _________________ shares of common stock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Incannex Healthcare</w:t>
      </w:r>
    </w:p>
    <w:p>
      <w:pPr>
        <w:spacing w:after="0" w:line="31"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18"/>
          <w:szCs w:val="18"/>
          <w:color w:val="auto"/>
        </w:rPr>
        <w:t xml:space="preserve">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under the Warrant. Capitalized terms used herein and not otherwise defined shall have the respective meanings set forth in the Warrant Agent Agreement.</w:t>
      </w:r>
    </w:p>
    <w:p>
      <w:pPr>
        <w:spacing w:after="0" w:line="177" w:lineRule="exact"/>
        <w:rPr>
          <w:sz w:val="20"/>
          <w:szCs w:val="20"/>
          <w:color w:val="auto"/>
        </w:rPr>
      </w:pPr>
    </w:p>
    <w:p>
      <w:pPr>
        <w:ind w:left="180" w:hanging="172"/>
        <w:spacing w:after="0"/>
        <w:tabs>
          <w:tab w:leader="none" w:pos="18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Form of Exercise Price</w:t>
      </w:r>
      <w:r>
        <w:rPr>
          <w:rFonts w:ascii="Times New Roman" w:cs="Times New Roman" w:eastAsia="Times New Roman" w:hAnsi="Times New Roman"/>
          <w:sz w:val="18"/>
          <w:szCs w:val="18"/>
          <w:color w:val="auto"/>
        </w:rPr>
        <w:t>. The Holder intends that payment of the Exercise Price shall be made as:</w:t>
      </w:r>
    </w:p>
    <w:p>
      <w:pPr>
        <w:spacing w:after="0" w:line="224" w:lineRule="exact"/>
        <w:rPr>
          <w:rFonts w:ascii="Times New Roman" w:cs="Times New Roman" w:eastAsia="Times New Roman" w:hAnsi="Times New Roman"/>
          <w:sz w:val="18"/>
          <w:szCs w:val="18"/>
          <w:color w:val="auto"/>
        </w:rPr>
      </w:pPr>
    </w:p>
    <w:p>
      <w:pPr>
        <w:ind w:left="740" w:hanging="638"/>
        <w:spacing w:after="0"/>
        <w:tabs>
          <w:tab w:leader="none" w:pos="7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auto"/>
        </w:rPr>
        <w:t>Cash Exercise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with respect to _________________ Common Stock; and/or</w:t>
      </w:r>
    </w:p>
    <w:p>
      <w:pPr>
        <w:spacing w:after="0" w:line="228" w:lineRule="exact"/>
        <w:rPr>
          <w:rFonts w:ascii="Times New Roman" w:cs="Times New Roman" w:eastAsia="Times New Roman" w:hAnsi="Times New Roman"/>
          <w:sz w:val="18"/>
          <w:szCs w:val="18"/>
          <w:color w:val="auto"/>
        </w:rPr>
      </w:pPr>
    </w:p>
    <w:p>
      <w:pPr>
        <w:ind w:left="740" w:hanging="638"/>
        <w:spacing w:after="0"/>
        <w:tabs>
          <w:tab w:leader="none" w:pos="74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Cashless Exercise</w:t>
      </w:r>
      <w:r>
        <w:rPr>
          <w:rFonts w:ascii="Times New Roman" w:cs="Times New Roman" w:eastAsia="Times New Roman" w:hAnsi="Times New Roman"/>
          <w:sz w:val="18"/>
          <w:szCs w:val="18"/>
          <w:color w:val="auto"/>
        </w:rPr>
        <w:t>” with respect to _______________ Common Stock.</w:t>
      </w:r>
    </w:p>
    <w:p>
      <w:pPr>
        <w:spacing w:after="0" w:line="219" w:lineRule="exact"/>
        <w:rPr>
          <w:rFonts w:ascii="Times New Roman" w:cs="Times New Roman" w:eastAsia="Times New Roman" w:hAnsi="Times New Roman"/>
          <w:sz w:val="18"/>
          <w:szCs w:val="18"/>
          <w:color w:val="auto"/>
        </w:rPr>
      </w:pPr>
    </w:p>
    <w:p>
      <w:pPr>
        <w:ind w:firstLine="8"/>
        <w:spacing w:after="0" w:line="258" w:lineRule="auto"/>
        <w:tabs>
          <w:tab w:leader="none" w:pos="17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Payment of Exercise Price</w:t>
      </w:r>
      <w:r>
        <w:rPr>
          <w:rFonts w:ascii="Times New Roman" w:cs="Times New Roman" w:eastAsia="Times New Roman" w:hAnsi="Times New Roman"/>
          <w:sz w:val="18"/>
          <w:szCs w:val="18"/>
          <w:color w:val="auto"/>
        </w:rPr>
        <w:t>. In the event that the holder has elected a Cash Exercise with respect to some or all of the Common Stock to be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pursuant hereto, the holder shall pay the Exercise Price in the sum of US$___________________ to the Company in accordance with the terms of the Warrant and the Warrant Agent Agreement and according to the wire details provided by the Warrant Agent upon request. To request wire instructions, please contact the Warrant Agent via email at Web.Queries@computershare.com or phone at 1-800-546-5141 if calling from within the United States or at +1 781-575-2765 if calling from outside the United States.</w:t>
      </w:r>
    </w:p>
    <w:p>
      <w:pPr>
        <w:spacing w:after="0" w:line="180" w:lineRule="exact"/>
        <w:rPr>
          <w:rFonts w:ascii="Times New Roman" w:cs="Times New Roman" w:eastAsia="Times New Roman" w:hAnsi="Times New Roman"/>
          <w:sz w:val="18"/>
          <w:szCs w:val="18"/>
          <w:color w:val="auto"/>
        </w:rPr>
      </w:pPr>
    </w:p>
    <w:p>
      <w:pPr>
        <w:jc w:val="both"/>
        <w:ind w:right="20" w:firstLine="8"/>
        <w:spacing w:after="0" w:line="267" w:lineRule="auto"/>
        <w:tabs>
          <w:tab w:leader="none" w:pos="17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Delivery of Warrant Shares</w:t>
      </w:r>
      <w:r>
        <w:rPr>
          <w:rFonts w:ascii="Times New Roman" w:cs="Times New Roman" w:eastAsia="Times New Roman" w:hAnsi="Times New Roman"/>
          <w:sz w:val="18"/>
          <w:szCs w:val="18"/>
          <w:color w:val="auto"/>
        </w:rPr>
        <w:t>. The Company shall deliver to the Holder __________ Warrant Shares in accordance with the terms of the Warrant Agent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and, after delivery of such Warrant Shares, _____________ Warrant Shares remain subject to the Warrant. Delivery of Warrant Shares shall be made to Holder, or for its benefit, to the registered account which held the Warrant.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 of the holder of the Warrant: ________________________________________</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__________________________________________</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 of signatory and title if the investor is a legal entity: _________________________________</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_____________________________</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_____________________________________________________________________</w:t>
      </w:r>
    </w:p>
    <w:p>
      <w:pPr>
        <w:spacing w:after="0" w:line="200" w:lineRule="exact"/>
        <w:rPr>
          <w:sz w:val="20"/>
          <w:szCs w:val="20"/>
          <w:color w:val="auto"/>
        </w:rPr>
      </w:pPr>
    </w:p>
    <w:p>
      <w:pPr>
        <w:spacing w:after="0" w:line="23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G-3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100"/>
          </w:cols>
          <w:pgMar w:left="320" w:top="898" w:right="479" w:bottom="1440" w:gutter="0" w:footer="0" w:header="0"/>
        </w:sectPr>
      </w:pPr>
    </w:p>
    <w:bookmarkStart w:id="177" w:name="page178"/>
    <w:bookmarkEnd w:id="177"/>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ASSIGNMENT FORM</w:t>
      </w:r>
    </w:p>
    <w:p>
      <w:pPr>
        <w:spacing w:after="0" w:line="228"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(To assign the foregoing warrant, execute</w:t>
      </w:r>
    </w:p>
    <w:p>
      <w:pPr>
        <w:spacing w:after="0" w:line="27"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8"/>
          <w:szCs w:val="18"/>
          <w:color w:val="auto"/>
        </w:rPr>
        <w:t>this form and supply required information.</w:t>
      </w:r>
    </w:p>
    <w:p>
      <w:pPr>
        <w:spacing w:after="0" w:line="9"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Do not use this form to exercise the warrant.)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VALUE RECEIVED, the undersigned registered holder hereby sells, assigns and transfers unto</w:t>
      </w:r>
    </w:p>
    <w:p>
      <w:pPr>
        <w:spacing w:after="0" w:line="224"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Name of Assignee</w:t>
      </w:r>
    </w:p>
    <w:p>
      <w:pPr>
        <w:spacing w:after="0" w:line="206"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Mailing Address and E-Mail Address of Assignee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 Warrants to purchase shares of common stock of Incannex Healthcare Inc., a Delaware corporation, evidenced by the attached Warrant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held by the undersigned, together with all right, title and interest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278765</wp:posOffset>
            </wp:positionV>
            <wp:extent cx="713295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2600"/>
        <w:spacing w:after="0"/>
        <w:tabs>
          <w:tab w:leader="none" w:pos="736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Signature of Registered Holder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Information of Registered Holder: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1792605</wp:posOffset>
            </wp:positionH>
            <wp:positionV relativeFrom="paragraph">
              <wp:posOffset>17145</wp:posOffset>
            </wp:positionV>
            <wp:extent cx="356616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Mailing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1792605</wp:posOffset>
            </wp:positionH>
            <wp:positionV relativeFrom="paragraph">
              <wp:posOffset>-127635</wp:posOffset>
            </wp:positionV>
            <wp:extent cx="356616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6">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1792605</wp:posOffset>
            </wp:positionH>
            <wp:positionV relativeFrom="paragraph">
              <wp:posOffset>25400</wp:posOffset>
            </wp:positionV>
            <wp:extent cx="356616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7">
                      <a:extLst>
                        <a:ext uri="{28A0092B-C50C-407E-A947-70E740481C1C}"/>
                      </a:extLst>
                    </a:blip>
                    <a:srcRect/>
                    <a:stretch>
                      <a:fillRect/>
                    </a:stretch>
                  </pic:blipFill>
                  <pic:spPr bwMode="auto">
                    <a:xfrm>
                      <a:off x="0" y="0"/>
                      <a:ext cx="3566160" cy="17145"/>
                    </a:xfrm>
                    <a:prstGeom prst="rect">
                      <a:avLst/>
                    </a:prstGeom>
                    <a:noFill/>
                  </pic:spPr>
                </pic:pic>
              </a:graphicData>
            </a:graphic>
          </wp:anchor>
        </w:drawing>
        <w:drawing>
          <wp:anchor simplePos="0" relativeHeight="251657728" behindDoc="1" locked="0" layoutInCell="0" allowOverlap="1">
            <wp:simplePos x="0" y="0"/>
            <wp:positionH relativeFrom="column">
              <wp:posOffset>1792605</wp:posOffset>
            </wp:positionH>
            <wp:positionV relativeFrom="paragraph">
              <wp:posOffset>-127635</wp:posOffset>
            </wp:positionV>
            <wp:extent cx="356616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Social Security or Other Taxpayer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Identification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2074545</wp:posOffset>
            </wp:positionH>
            <wp:positionV relativeFrom="paragraph">
              <wp:posOffset>-2540</wp:posOffset>
            </wp:positionV>
            <wp:extent cx="506285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9">
                      <a:extLst>
                        <a:ext uri="{28A0092B-C50C-407E-A947-70E740481C1C}"/>
                      </a:extLst>
                    </a:blip>
                    <a:srcRect/>
                    <a:stretch>
                      <a:fillRect/>
                    </a:stretch>
                  </pic:blipFill>
                  <pic:spPr bwMode="auto">
                    <a:xfrm>
                      <a:off x="0" y="0"/>
                      <a:ext cx="5062855" cy="1714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356616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Signatures must be guaranteed by a participant in the Securities Transfer Agent Medallion Program, the Stock Exchanges Medallion Program or the New York Stock Exchange, Inc. Medallion Signature Program.</w:t>
      </w:r>
    </w:p>
    <w:p>
      <w:pPr>
        <w:spacing w:after="0" w:line="37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G-4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020"/>
          </w:cols>
          <w:pgMar w:left="320" w:top="899" w:right="55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2023 EQUITY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SUBPLAN FOR AUSTRALIAN PARTICIPANTS</w:t>
      </w:r>
    </w:p>
    <w:p>
      <w:pPr>
        <w:spacing w:after="0" w:line="202" w:lineRule="exact"/>
        <w:rPr>
          <w:sz w:val="20"/>
          <w:szCs w:val="20"/>
          <w:color w:val="auto"/>
        </w:rPr>
      </w:pPr>
    </w:p>
    <w:p>
      <w:pPr>
        <w:ind w:right="80" w:firstLine="8"/>
        <w:spacing w:after="0" w:line="257" w:lineRule="auto"/>
        <w:tabs>
          <w:tab w:leader="none" w:pos="17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Purpose and Applicability</w:t>
      </w:r>
      <w:r>
        <w:rPr>
          <w:rFonts w:ascii="Times New Roman" w:cs="Times New Roman" w:eastAsia="Times New Roman" w:hAnsi="Times New Roman"/>
          <w:sz w:val="18"/>
          <w:szCs w:val="18"/>
          <w:color w:val="auto"/>
        </w:rPr>
        <w:t>. This Subplan for Australian Participants (the “</w:t>
      </w:r>
      <w:r>
        <w:rPr>
          <w:rFonts w:ascii="Times New Roman" w:cs="Times New Roman" w:eastAsia="Times New Roman" w:hAnsi="Times New Roman"/>
          <w:sz w:val="18"/>
          <w:szCs w:val="18"/>
          <w:u w:val="single" w:color="auto"/>
          <w:color w:val="auto"/>
        </w:rPr>
        <w:t>Australian Subplan</w:t>
      </w:r>
      <w:r>
        <w:rPr>
          <w:rFonts w:ascii="Times New Roman" w:cs="Times New Roman" w:eastAsia="Times New Roman" w:hAnsi="Times New Roman"/>
          <w:sz w:val="18"/>
          <w:szCs w:val="18"/>
          <w:color w:val="auto"/>
        </w:rPr>
        <w:t>”) applies to Employees, Directors, and Consultants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Incannex Healthcare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of its Subsidiaries and Affiliates, who are either Australian residents or Australian taxpayers, and who shall have been nominated to participate in this Australian Subplan by the Committee (each such person, an “</w:t>
      </w:r>
      <w:r>
        <w:rPr>
          <w:rFonts w:ascii="Times New Roman" w:cs="Times New Roman" w:eastAsia="Times New Roman" w:hAnsi="Times New Roman"/>
          <w:sz w:val="18"/>
          <w:szCs w:val="18"/>
          <w:u w:val="single" w:color="auto"/>
          <w:color w:val="auto"/>
        </w:rPr>
        <w:t>Australian Participant</w:t>
      </w:r>
      <w:r>
        <w:rPr>
          <w:rFonts w:ascii="Times New Roman" w:cs="Times New Roman" w:eastAsia="Times New Roman" w:hAnsi="Times New Roman"/>
          <w:sz w:val="18"/>
          <w:szCs w:val="18"/>
          <w:color w:val="auto"/>
        </w:rPr>
        <w:t>”). Pursuant to Section 15(d) the Incannex Healthcare Inc. 2023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the Board has the authority to amend the Plan and has determined to establish an addenda or subplan for the benefit of Australian Participants. The purpose of this Australian Subplan is to facilitate compliance with Australian tax, securities, and other applicable laws, and to permit the Company to issue Rights to Eligible Participants who are Australian residents.</w:t>
      </w:r>
    </w:p>
    <w:p>
      <w:pPr>
        <w:spacing w:after="0" w:line="183" w:lineRule="exact"/>
        <w:rPr>
          <w:sz w:val="20"/>
          <w:szCs w:val="20"/>
          <w:color w:val="auto"/>
        </w:rPr>
      </w:pPr>
    </w:p>
    <w:p>
      <w:pPr>
        <w:ind w:right="160" w:firstLine="646"/>
        <w:spacing w:after="0" w:line="260" w:lineRule="auto"/>
        <w:rPr>
          <w:sz w:val="20"/>
          <w:szCs w:val="20"/>
          <w:color w:val="auto"/>
        </w:rPr>
      </w:pPr>
      <w:r>
        <w:rPr>
          <w:rFonts w:ascii="Times New Roman" w:cs="Times New Roman" w:eastAsia="Times New Roman" w:hAnsi="Times New Roman"/>
          <w:sz w:val="18"/>
          <w:szCs w:val="18"/>
          <w:color w:val="auto"/>
        </w:rPr>
        <w:t>All Rights granted to Australian Participants will be governed by the terms of the Plan, when read together with this Australian Subplan (on the basis that, for these purposes, when reading the Plan, the “Plan” shall include this Australian Subplan, and a “Participant” includes an “Australian Participant” who has been granted a Right.) In the case of an irreconcilable contradiction (as determined by the Committee) between the provisions of this Australian Subplan and the Plan, the provisions of this Australian Subplan will govern.</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definitions and sections of the Plan do not apply to this Australian Subplan.</w:t>
      </w:r>
    </w:p>
    <w:p>
      <w:pPr>
        <w:spacing w:after="0" w:line="2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Definitions: Awards, Eligible Person, Incentive Stock Option, and Performance Award.</w:t>
      </w:r>
    </w:p>
    <w:p>
      <w:pPr>
        <w:spacing w:after="0" w:line="22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Sections: 7(e), 15(b), 15(r), and 15(s).</w:t>
      </w:r>
    </w:p>
    <w:p>
      <w:pPr>
        <w:spacing w:after="0" w:line="220" w:lineRule="exact"/>
        <w:rPr>
          <w:sz w:val="20"/>
          <w:szCs w:val="20"/>
          <w:color w:val="auto"/>
        </w:rPr>
      </w:pPr>
    </w:p>
    <w:p>
      <w:pPr>
        <w:ind w:left="180" w:hanging="172"/>
        <w:spacing w:after="0"/>
        <w:tabs>
          <w:tab w:leader="none" w:pos="1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Definitions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Capitalized terms contained in this Australian Subplan have the same meanings given to them in the Plan, unless otherwise provided below:</w:t>
      </w:r>
    </w:p>
    <w:p>
      <w:pPr>
        <w:spacing w:after="0" w:line="226" w:lineRule="exact"/>
        <w:rPr>
          <w:rFonts w:ascii="Times New Roman" w:cs="Times New Roman" w:eastAsia="Times New Roman" w:hAnsi="Times New Roman"/>
          <w:sz w:val="18"/>
          <w:szCs w:val="18"/>
          <w:color w:val="auto"/>
        </w:rPr>
      </w:pPr>
    </w:p>
    <w:p>
      <w:pPr>
        <w:ind w:left="900" w:hanging="246"/>
        <w:spacing w:after="0"/>
        <w:tabs>
          <w:tab w:leader="none" w:pos="9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Application</w:t>
      </w:r>
      <w:r>
        <w:rPr>
          <w:rFonts w:ascii="Times New Roman" w:cs="Times New Roman" w:eastAsia="Times New Roman" w:hAnsi="Times New Roman"/>
          <w:sz w:val="18"/>
          <w:szCs w:val="18"/>
          <w:color w:val="auto"/>
        </w:rPr>
        <w:t>” means the document that must be submitted by a Participant to apply for Rights under this Australian Subplan, as specified in</w:t>
      </w:r>
    </w:p>
    <w:p>
      <w:pPr>
        <w:spacing w:after="0" w:line="2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p>
    <w:p>
      <w:pPr>
        <w:spacing w:after="0" w:line="203" w:lineRule="exact"/>
        <w:rPr>
          <w:rFonts w:ascii="Times New Roman" w:cs="Times New Roman" w:eastAsia="Times New Roman" w:hAnsi="Times New Roman"/>
          <w:sz w:val="18"/>
          <w:szCs w:val="18"/>
          <w:color w:val="auto"/>
        </w:rPr>
      </w:pPr>
    </w:p>
    <w:p>
      <w:pPr>
        <w:ind w:left="900" w:hanging="246"/>
        <w:spacing w:after="0"/>
        <w:tabs>
          <w:tab w:leader="none" w:pos="9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Application Period</w:t>
      </w:r>
      <w:r>
        <w:rPr>
          <w:rFonts w:ascii="Times New Roman" w:cs="Times New Roman" w:eastAsia="Times New Roman" w:hAnsi="Times New Roman"/>
          <w:sz w:val="18"/>
          <w:szCs w:val="18"/>
          <w:color w:val="auto"/>
        </w:rPr>
        <w:t>” means the period between the date of the Invitation and the last date on which an Application may be submitted</w:t>
      </w:r>
    </w:p>
    <w:p>
      <w:pPr>
        <w:spacing w:after="0" w:line="223" w:lineRule="exact"/>
        <w:rPr>
          <w:rFonts w:ascii="Times New Roman" w:cs="Times New Roman" w:eastAsia="Times New Roman" w:hAnsi="Times New Roman"/>
          <w:sz w:val="18"/>
          <w:szCs w:val="18"/>
          <w:color w:val="auto"/>
        </w:rPr>
      </w:pPr>
    </w:p>
    <w:p>
      <w:pPr>
        <w:ind w:left="900" w:hanging="246"/>
        <w:spacing w:after="0"/>
        <w:tabs>
          <w:tab w:leader="none" w:pos="9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Australian Participant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900" w:hanging="246"/>
        <w:spacing w:after="0"/>
        <w:tabs>
          <w:tab w:leader="none" w:pos="9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Australian Subplan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900" w:hanging="246"/>
        <w:spacing w:after="0"/>
        <w:tabs>
          <w:tab w:leader="none" w:pos="9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Company</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right="580" w:firstLine="654"/>
        <w:spacing w:after="0" w:line="283" w:lineRule="auto"/>
        <w:tabs>
          <w:tab w:leader="none" w:pos="871"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Eligible Person</w:t>
      </w:r>
      <w:r>
        <w:rPr>
          <w:rFonts w:ascii="Times New Roman" w:cs="Times New Roman" w:eastAsia="Times New Roman" w:hAnsi="Times New Roman"/>
          <w:sz w:val="18"/>
          <w:szCs w:val="18"/>
          <w:color w:val="auto"/>
        </w:rPr>
        <w:t>” means a full time or part-time Employee (including an executive Director but excluding a non-executive Director), an Employee of the Group or a Consultant to the Group or a person who will prospectively fill one of the foregoing roles.</w:t>
      </w:r>
    </w:p>
    <w:p>
      <w:pPr>
        <w:spacing w:after="0" w:line="158" w:lineRule="exact"/>
        <w:rPr>
          <w:rFonts w:ascii="Times New Roman" w:cs="Times New Roman" w:eastAsia="Times New Roman" w:hAnsi="Times New Roman"/>
          <w:sz w:val="18"/>
          <w:szCs w:val="18"/>
          <w:color w:val="auto"/>
        </w:rPr>
      </w:pPr>
    </w:p>
    <w:p>
      <w:pPr>
        <w:ind w:right="100" w:firstLine="654"/>
        <w:spacing w:after="0" w:line="283" w:lineRule="auto"/>
        <w:tabs>
          <w:tab w:leader="none" w:pos="901"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Employee</w:t>
      </w:r>
      <w:r>
        <w:rPr>
          <w:rFonts w:ascii="Times New Roman" w:cs="Times New Roman" w:eastAsia="Times New Roman" w:hAnsi="Times New Roman"/>
          <w:sz w:val="18"/>
          <w:szCs w:val="18"/>
          <w:color w:val="auto"/>
        </w:rPr>
        <w:t>” means any person who is a full-time or permanent part-time Employee of the Group. Neither service as a Director nor payment of a director’s fee by the Company will be sufficient to constitute “employment”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13295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9" w:name="page180"/>
    <w:bookmarkEnd w:id="179"/>
    <w:p>
      <w:pPr>
        <w:ind w:left="900" w:hanging="246"/>
        <w:spacing w:after="0"/>
        <w:tabs>
          <w:tab w:leader="none" w:pos="9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EST</w:t>
      </w:r>
      <w:r>
        <w:rPr>
          <w:rFonts w:ascii="Times New Roman" w:cs="Times New Roman" w:eastAsia="Times New Roman" w:hAnsi="Times New Roman"/>
          <w:sz w:val="18"/>
          <w:szCs w:val="18"/>
          <w:color w:val="auto"/>
        </w:rPr>
        <w:t>” means an employee share trust established by the Group to facilitate the operation of this Australian Subplan.</w:t>
      </w:r>
    </w:p>
    <w:p>
      <w:pPr>
        <w:spacing w:after="0" w:line="223" w:lineRule="exact"/>
        <w:rPr>
          <w:rFonts w:ascii="Times New Roman" w:cs="Times New Roman" w:eastAsia="Times New Roman" w:hAnsi="Times New Roman"/>
          <w:sz w:val="18"/>
          <w:szCs w:val="18"/>
          <w:color w:val="auto"/>
        </w:rPr>
      </w:pPr>
    </w:p>
    <w:p>
      <w:pPr>
        <w:ind w:left="860" w:hanging="206"/>
        <w:spacing w:after="0"/>
        <w:tabs>
          <w:tab w:leader="none" w:pos="8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Exercise Notice</w:t>
      </w:r>
      <w:r>
        <w:rPr>
          <w:rFonts w:ascii="Times New Roman" w:cs="Times New Roman" w:eastAsia="Times New Roman" w:hAnsi="Times New Roman"/>
          <w:sz w:val="18"/>
          <w:szCs w:val="18"/>
          <w:color w:val="auto"/>
        </w:rPr>
        <w:t xml:space="preserve">” means the written advice from the Participant to the Company that the Participant is exercising their Right under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w:t>
      </w:r>
    </w:p>
    <w:p>
      <w:pPr>
        <w:spacing w:after="0" w:line="224" w:lineRule="exact"/>
        <w:rPr>
          <w:rFonts w:ascii="Times New Roman" w:cs="Times New Roman" w:eastAsia="Times New Roman" w:hAnsi="Times New Roman"/>
          <w:sz w:val="18"/>
          <w:szCs w:val="18"/>
          <w:color w:val="auto"/>
        </w:rPr>
      </w:pPr>
    </w:p>
    <w:p>
      <w:pPr>
        <w:ind w:left="860" w:hanging="206"/>
        <w:spacing w:after="0"/>
        <w:tabs>
          <w:tab w:leader="none" w:pos="8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Exercise Price</w:t>
      </w:r>
      <w:r>
        <w:rPr>
          <w:rFonts w:ascii="Times New Roman" w:cs="Times New Roman" w:eastAsia="Times New Roman" w:hAnsi="Times New Roman"/>
          <w:sz w:val="18"/>
          <w:szCs w:val="18"/>
          <w:color w:val="auto"/>
        </w:rPr>
        <w:t>” means the amount, if any, payable to exercise a Right</w:t>
      </w:r>
    </w:p>
    <w:p>
      <w:pPr>
        <w:spacing w:after="0" w:line="224" w:lineRule="exact"/>
        <w:rPr>
          <w:rFonts w:ascii="Times New Roman" w:cs="Times New Roman" w:eastAsia="Times New Roman" w:hAnsi="Times New Roman"/>
          <w:sz w:val="18"/>
          <w:szCs w:val="18"/>
          <w:color w:val="auto"/>
        </w:rPr>
      </w:pPr>
    </w:p>
    <w:p>
      <w:pPr>
        <w:ind w:right="680" w:firstLine="654"/>
        <w:spacing w:after="0" w:line="283" w:lineRule="auto"/>
        <w:tabs>
          <w:tab w:leader="none" w:pos="901"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Exercise Restrictions</w:t>
      </w:r>
      <w:r>
        <w:rPr>
          <w:rFonts w:ascii="Times New Roman" w:cs="Times New Roman" w:eastAsia="Times New Roman" w:hAnsi="Times New Roman"/>
          <w:sz w:val="18"/>
          <w:szCs w:val="18"/>
          <w:color w:val="auto"/>
        </w:rPr>
        <w:t xml:space="preserve">” means a period during which a Participant may not exercise vested Rights; for Restricted Rights, the Exercise Restriction is as defined in </w:t>
      </w:r>
      <w:r>
        <w:rPr>
          <w:rFonts w:ascii="Times New Roman" w:cs="Times New Roman" w:eastAsia="Times New Roman" w:hAnsi="Times New Roman"/>
          <w:sz w:val="18"/>
          <w:szCs w:val="18"/>
          <w:u w:val="single" w:color="auto"/>
          <w:color w:val="auto"/>
        </w:rPr>
        <w:t>Section 16(a)</w:t>
      </w:r>
      <w:r>
        <w:rPr>
          <w:rFonts w:ascii="Times New Roman" w:cs="Times New Roman" w:eastAsia="Times New Roman" w:hAnsi="Times New Roman"/>
          <w:sz w:val="18"/>
          <w:szCs w:val="18"/>
          <w:color w:val="auto"/>
        </w:rPr>
        <w:t>, and for other Rights is a period specified in an Invitation, if applicable.</w:t>
      </w:r>
    </w:p>
    <w:p>
      <w:pPr>
        <w:spacing w:after="0" w:line="158" w:lineRule="exact"/>
        <w:rPr>
          <w:rFonts w:ascii="Times New Roman" w:cs="Times New Roman" w:eastAsia="Times New Roman" w:hAnsi="Times New Roman"/>
          <w:sz w:val="18"/>
          <w:szCs w:val="18"/>
          <w:color w:val="auto"/>
        </w:rPr>
      </w:pPr>
    </w:p>
    <w:p>
      <w:pPr>
        <w:ind w:right="420" w:firstLine="654"/>
        <w:spacing w:after="0" w:line="283" w:lineRule="auto"/>
        <w:tabs>
          <w:tab w:leader="none" w:pos="861"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Exercise Rights Value</w:t>
      </w:r>
      <w:r>
        <w:rPr>
          <w:rFonts w:ascii="Times New Roman" w:cs="Times New Roman" w:eastAsia="Times New Roman" w:hAnsi="Times New Roman"/>
          <w:sz w:val="18"/>
          <w:szCs w:val="18"/>
          <w:color w:val="auto"/>
        </w:rPr>
        <w:t>” means the value determined by applying the following formula as at the date of exercise: (Common Share Price - Exercise Price) x Number of Rights Exercised.</w:t>
      </w:r>
    </w:p>
    <w:p>
      <w:pPr>
        <w:spacing w:after="0" w:line="158" w:lineRule="exact"/>
        <w:rPr>
          <w:rFonts w:ascii="Times New Roman" w:cs="Times New Roman" w:eastAsia="Times New Roman" w:hAnsi="Times New Roman"/>
          <w:sz w:val="18"/>
          <w:szCs w:val="18"/>
          <w:color w:val="auto"/>
        </w:rPr>
      </w:pPr>
    </w:p>
    <w:p>
      <w:pPr>
        <w:ind w:left="960" w:hanging="306"/>
        <w:spacing w:after="0"/>
        <w:tabs>
          <w:tab w:leader="none" w:pos="96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Group</w:t>
      </w:r>
      <w:r>
        <w:rPr>
          <w:rFonts w:ascii="Times New Roman" w:cs="Times New Roman" w:eastAsia="Times New Roman" w:hAnsi="Times New Roman"/>
          <w:sz w:val="18"/>
          <w:szCs w:val="18"/>
          <w:color w:val="auto"/>
        </w:rPr>
        <w:t>” means the Company, its Subsidiaries, and its Affiliates.</w:t>
      </w:r>
    </w:p>
    <w:p>
      <w:pPr>
        <w:spacing w:after="0" w:line="223" w:lineRule="exact"/>
        <w:rPr>
          <w:rFonts w:ascii="Times New Roman" w:cs="Times New Roman" w:eastAsia="Times New Roman" w:hAnsi="Times New Roman"/>
          <w:sz w:val="18"/>
          <w:szCs w:val="18"/>
          <w:color w:val="auto"/>
        </w:rPr>
      </w:pPr>
    </w:p>
    <w:p>
      <w:pPr>
        <w:ind w:right="120" w:firstLine="654"/>
        <w:spacing w:after="0" w:line="283" w:lineRule="auto"/>
        <w:tabs>
          <w:tab w:leader="none" w:pos="901"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Invitation</w:t>
      </w:r>
      <w:r>
        <w:rPr>
          <w:rFonts w:ascii="Times New Roman" w:cs="Times New Roman" w:eastAsia="Times New Roman" w:hAnsi="Times New Roman"/>
          <w:sz w:val="18"/>
          <w:szCs w:val="18"/>
          <w:color w:val="auto"/>
        </w:rPr>
        <w:t>” means a communication from the Company to an Eligible Person that contains the terms and conditions of the specific invitation to apply for Rights.</w:t>
      </w:r>
    </w:p>
    <w:p>
      <w:pPr>
        <w:spacing w:after="0" w:line="158" w:lineRule="exact"/>
        <w:rPr>
          <w:rFonts w:ascii="Times New Roman" w:cs="Times New Roman" w:eastAsia="Times New Roman" w:hAnsi="Times New Roman"/>
          <w:sz w:val="18"/>
          <w:szCs w:val="18"/>
          <w:color w:val="auto"/>
        </w:rPr>
      </w:pPr>
    </w:p>
    <w:p>
      <w:pPr>
        <w:ind w:left="900" w:hanging="246"/>
        <w:spacing w:after="0"/>
        <w:tabs>
          <w:tab w:leader="none" w:pos="9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Measurement Period</w:t>
      </w:r>
      <w:r>
        <w:rPr>
          <w:rFonts w:ascii="Times New Roman" w:cs="Times New Roman" w:eastAsia="Times New Roman" w:hAnsi="Times New Roman"/>
          <w:sz w:val="18"/>
          <w:szCs w:val="18"/>
          <w:color w:val="auto"/>
        </w:rPr>
        <w:t>” means, in relation to Invitations of Performance Rights and Service Rights, the period or periods specified in the</w:t>
      </w:r>
    </w:p>
    <w:p>
      <w:pPr>
        <w:spacing w:after="0" w:line="2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Invitation.</w:t>
      </w:r>
    </w:p>
    <w:p>
      <w:pPr>
        <w:spacing w:after="0" w:line="203" w:lineRule="exact"/>
        <w:rPr>
          <w:rFonts w:ascii="Times New Roman" w:cs="Times New Roman" w:eastAsia="Times New Roman" w:hAnsi="Times New Roman"/>
          <w:sz w:val="18"/>
          <w:szCs w:val="18"/>
          <w:color w:val="auto"/>
        </w:rPr>
      </w:pPr>
    </w:p>
    <w:p>
      <w:pPr>
        <w:ind w:left="900" w:hanging="246"/>
        <w:spacing w:after="0"/>
        <w:tabs>
          <w:tab w:leader="none" w:pos="9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Performance Rights</w:t>
      </w:r>
      <w:r>
        <w:rPr>
          <w:rFonts w:ascii="Times New Roman" w:cs="Times New Roman" w:eastAsia="Times New Roman" w:hAnsi="Times New Roman"/>
          <w:sz w:val="18"/>
          <w:szCs w:val="18"/>
          <w:color w:val="auto"/>
        </w:rPr>
        <w:t>” means rights that are subject to performance related Vesting Conditions</w:t>
      </w:r>
    </w:p>
    <w:p>
      <w:pPr>
        <w:spacing w:after="0" w:line="223" w:lineRule="exact"/>
        <w:rPr>
          <w:rFonts w:ascii="Times New Roman" w:cs="Times New Roman" w:eastAsia="Times New Roman" w:hAnsi="Times New Roman"/>
          <w:sz w:val="18"/>
          <w:szCs w:val="18"/>
          <w:color w:val="auto"/>
        </w:rPr>
      </w:pPr>
    </w:p>
    <w:p>
      <w:pPr>
        <w:ind w:left="900" w:hanging="246"/>
        <w:spacing w:after="0"/>
        <w:tabs>
          <w:tab w:leader="none" w:pos="9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w:t>
      </w:r>
    </w:p>
    <w:p>
      <w:pPr>
        <w:spacing w:after="0" w:line="224" w:lineRule="exact"/>
        <w:rPr>
          <w:rFonts w:ascii="Times New Roman" w:cs="Times New Roman" w:eastAsia="Times New Roman" w:hAnsi="Times New Roman"/>
          <w:sz w:val="18"/>
          <w:szCs w:val="18"/>
          <w:color w:val="auto"/>
        </w:rPr>
      </w:pPr>
    </w:p>
    <w:p>
      <w:pPr>
        <w:ind w:left="880" w:hanging="226"/>
        <w:spacing w:after="0"/>
        <w:tabs>
          <w:tab w:leader="none" w:pos="8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Restricted Right</w:t>
      </w:r>
      <w:r>
        <w:rPr>
          <w:rFonts w:ascii="Times New Roman" w:cs="Times New Roman" w:eastAsia="Times New Roman" w:hAnsi="Times New Roman"/>
          <w:sz w:val="18"/>
          <w:szCs w:val="18"/>
          <w:color w:val="auto"/>
        </w:rPr>
        <w:t>” means a right that is fully vested at grant.</w:t>
      </w:r>
    </w:p>
    <w:p>
      <w:pPr>
        <w:spacing w:after="0" w:line="224" w:lineRule="exact"/>
        <w:rPr>
          <w:rFonts w:ascii="Times New Roman" w:cs="Times New Roman" w:eastAsia="Times New Roman" w:hAnsi="Times New Roman"/>
          <w:sz w:val="18"/>
          <w:szCs w:val="18"/>
          <w:color w:val="auto"/>
        </w:rPr>
      </w:pPr>
    </w:p>
    <w:p>
      <w:pPr>
        <w:ind w:left="880" w:hanging="226"/>
        <w:spacing w:after="0"/>
        <w:tabs>
          <w:tab w:leader="none" w:pos="88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Restricted Shares</w:t>
      </w:r>
      <w:r>
        <w:rPr>
          <w:rFonts w:ascii="Times New Roman" w:cs="Times New Roman" w:eastAsia="Times New Roman" w:hAnsi="Times New Roman"/>
          <w:sz w:val="18"/>
          <w:szCs w:val="18"/>
          <w:color w:val="auto"/>
        </w:rPr>
        <w:t>” means Common Shares acquired by exercise of vested Rights and which are subject to disposal restrictions.</w:t>
      </w:r>
    </w:p>
    <w:p>
      <w:pPr>
        <w:spacing w:after="0" w:line="223" w:lineRule="exact"/>
        <w:rPr>
          <w:rFonts w:ascii="Times New Roman" w:cs="Times New Roman" w:eastAsia="Times New Roman" w:hAnsi="Times New Roman"/>
          <w:sz w:val="18"/>
          <w:szCs w:val="18"/>
          <w:color w:val="auto"/>
        </w:rPr>
      </w:pPr>
    </w:p>
    <w:p>
      <w:pPr>
        <w:ind w:right="360" w:firstLine="654"/>
        <w:spacing w:after="0" w:line="283" w:lineRule="auto"/>
        <w:tabs>
          <w:tab w:leader="none" w:pos="861"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u w:val="single" w:color="auto"/>
          <w:color w:val="auto"/>
        </w:rPr>
        <w:t>Rights</w:t>
      </w:r>
      <w:r>
        <w:rPr>
          <w:rFonts w:ascii="Times New Roman" w:cs="Times New Roman" w:eastAsia="Times New Roman" w:hAnsi="Times New Roman"/>
          <w:sz w:val="18"/>
          <w:szCs w:val="18"/>
          <w:color w:val="auto"/>
        </w:rPr>
        <w:t>” means an entitlement to the value of a Common Share which may be settled in the form of cash, or a Common Share (including a Restricted Share), as determined by the Committee in its discretion.</w:t>
      </w:r>
    </w:p>
    <w:p>
      <w:pPr>
        <w:spacing w:after="0" w:line="158" w:lineRule="exact"/>
        <w:rPr>
          <w:rFonts w:ascii="Times New Roman" w:cs="Times New Roman" w:eastAsia="Times New Roman" w:hAnsi="Times New Roman"/>
          <w:sz w:val="18"/>
          <w:szCs w:val="18"/>
          <w:color w:val="auto"/>
        </w:rPr>
      </w:pPr>
    </w:p>
    <w:p>
      <w:pPr>
        <w:ind w:left="900" w:hanging="246"/>
        <w:spacing w:after="0"/>
        <w:tabs>
          <w:tab w:leader="none" w:pos="9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Service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rights that are subject to service related Vesting Conditions.</w:t>
      </w:r>
    </w:p>
    <w:p>
      <w:pPr>
        <w:spacing w:after="0" w:line="223" w:lineRule="exact"/>
        <w:rPr>
          <w:rFonts w:ascii="Times New Roman" w:cs="Times New Roman" w:eastAsia="Times New Roman" w:hAnsi="Times New Roman"/>
          <w:sz w:val="18"/>
          <w:szCs w:val="18"/>
          <w:color w:val="auto"/>
        </w:rPr>
      </w:pPr>
    </w:p>
    <w:p>
      <w:pPr>
        <w:ind w:firstLine="654"/>
        <w:spacing w:after="0" w:line="276" w:lineRule="auto"/>
        <w:tabs>
          <w:tab w:leader="none" w:pos="900" w:val="left"/>
        </w:tabs>
        <w:numPr>
          <w:ilvl w:val="0"/>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i w:val="1"/>
          <w:iCs w:val="1"/>
          <w:u w:val="single" w:color="auto"/>
          <w:color w:val="auto"/>
        </w:rPr>
        <w:t>Specified Disposal Restrictions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means the period specified in an Invitation, if any, commencing when a Restricted Share is acquired by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exercise of a Right and ending on the first to occur of: the date specified in the Invitation, the 15th anniversary of the grant date and the date of cessation of the Participant’s employment with the Group. During the period of the Specified Disposal Restriction, Restricted Shares may not be disposed of or transferred or otherwise dealt with (including encumbered or made subject to any interest in favor of any other person) and will be forfeited on purported disposal, transfer, or dealing unless the transfer is effected by operation of law on death or legal incapacity to the Participant’s legal personal representative.</w:t>
      </w:r>
    </w:p>
    <w:p>
      <w:pPr>
        <w:spacing w:after="0" w:line="168" w:lineRule="exact"/>
        <w:rPr>
          <w:rFonts w:ascii="Times New Roman" w:cs="Times New Roman" w:eastAsia="Times New Roman" w:hAnsi="Times New Roman"/>
          <w:sz w:val="17"/>
          <w:szCs w:val="17"/>
          <w:color w:val="auto"/>
        </w:rPr>
      </w:pPr>
    </w:p>
    <w:p>
      <w:pPr>
        <w:ind w:left="940" w:hanging="286"/>
        <w:spacing w:after="0"/>
        <w:tabs>
          <w:tab w:leader="none" w:pos="94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Tranche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a group of Rights defined by the fact that each Right in the group has identical terms and features.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180"/>
          </w:cols>
          <w:pgMar w:left="320" w:top="900" w:right="399" w:bottom="1440" w:gutter="0" w:footer="0" w:header="0"/>
        </w:sectPr>
      </w:pPr>
    </w:p>
    <w:bookmarkStart w:id="180" w:name="page181"/>
    <w:bookmarkEnd w:id="180"/>
    <w:p>
      <w:pPr>
        <w:ind w:left="892" w:hanging="246"/>
        <w:spacing w:after="0"/>
        <w:tabs>
          <w:tab w:leader="none" w:pos="892"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Vesting Conditions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means conditions that must be satisfied for vesting of a Right to occur, as contemplated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w:t>
      </w:r>
    </w:p>
    <w:p>
      <w:pPr>
        <w:spacing w:after="0" w:line="224" w:lineRule="exact"/>
        <w:rPr>
          <w:rFonts w:ascii="Times New Roman" w:cs="Times New Roman" w:eastAsia="Times New Roman" w:hAnsi="Times New Roman"/>
          <w:sz w:val="18"/>
          <w:szCs w:val="18"/>
          <w:color w:val="auto"/>
        </w:rPr>
      </w:pPr>
    </w:p>
    <w:p>
      <w:pPr>
        <w:ind w:left="892" w:hanging="246"/>
        <w:spacing w:after="0"/>
        <w:tabs>
          <w:tab w:leader="none" w:pos="892"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Vesting Date</w:t>
      </w:r>
      <w:r>
        <w:rPr>
          <w:rFonts w:ascii="Times New Roman" w:cs="Times New Roman" w:eastAsia="Times New Roman" w:hAnsi="Times New Roman"/>
          <w:sz w:val="18"/>
          <w:szCs w:val="18"/>
          <w:color w:val="auto"/>
        </w:rPr>
        <w:t>” means the date on which unvested Rights become vested, as specified in a Vesting Notice.</w:t>
      </w:r>
    </w:p>
    <w:p>
      <w:pPr>
        <w:spacing w:after="0" w:line="224" w:lineRule="exact"/>
        <w:rPr>
          <w:rFonts w:ascii="Times New Roman" w:cs="Times New Roman" w:eastAsia="Times New Roman" w:hAnsi="Times New Roman"/>
          <w:sz w:val="18"/>
          <w:szCs w:val="18"/>
          <w:color w:val="auto"/>
        </w:rPr>
      </w:pPr>
    </w:p>
    <w:p>
      <w:pPr>
        <w:ind w:left="892" w:hanging="246"/>
        <w:spacing w:after="0"/>
        <w:tabs>
          <w:tab w:leader="none" w:pos="892"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i w:val="1"/>
          <w:iCs w:val="1"/>
          <w:u w:val="single" w:color="auto"/>
          <w:color w:val="auto"/>
        </w:rPr>
        <w:t>Vesting Notice</w:t>
      </w:r>
      <w:r>
        <w:rPr>
          <w:rFonts w:ascii="Times New Roman" w:cs="Times New Roman" w:eastAsia="Times New Roman" w:hAnsi="Times New Roman"/>
          <w:sz w:val="18"/>
          <w:szCs w:val="18"/>
          <w:color w:val="auto"/>
        </w:rPr>
        <w:t>” means the document issued to a Participant to notify that the Rights have vested, including the date of vesting.</w:t>
      </w:r>
    </w:p>
    <w:p>
      <w:pPr>
        <w:spacing w:after="0" w:line="221" w:lineRule="exact"/>
        <w:rPr>
          <w:rFonts w:ascii="Times New Roman" w:cs="Times New Roman" w:eastAsia="Times New Roman" w:hAnsi="Times New Roman"/>
          <w:sz w:val="18"/>
          <w:szCs w:val="18"/>
          <w:color w:val="auto"/>
        </w:rPr>
      </w:pPr>
    </w:p>
    <w:p>
      <w:pPr>
        <w:ind w:left="-8" w:right="180" w:firstLine="8"/>
        <w:spacing w:after="0" w:line="261" w:lineRule="auto"/>
        <w:tabs>
          <w:tab w:leader="none" w:pos="17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Administration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Australian Subplan will be administered by the Committee. The Committee is authorized, subject to the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Australian Subplan, to establish such guidelines for the administration of this Australian Subplan as are deemed appropriate, and to make determinations under this Australian Subplan as may be deemed necessary or advisable from time to time. Such determinations shall be conclusive and binding on all Participants.</w:t>
      </w:r>
    </w:p>
    <w:p>
      <w:pPr>
        <w:spacing w:after="0" w:line="177"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Eligibility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Eligible Persons are eligible to receive Invitations.</w:t>
      </w:r>
    </w:p>
    <w:p>
      <w:pPr>
        <w:spacing w:after="0" w:line="224"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Invitations</w:t>
      </w:r>
      <w:r>
        <w:rPr>
          <w:rFonts w:ascii="Times New Roman" w:cs="Times New Roman" w:eastAsia="Times New Roman" w:hAnsi="Times New Roman"/>
          <w:sz w:val="18"/>
          <w:szCs w:val="18"/>
          <w:b w:val="1"/>
          <w:bCs w:val="1"/>
          <w:color w:val="auto"/>
        </w:rPr>
        <w:t>.</w:t>
      </w:r>
    </w:p>
    <w:p>
      <w:pPr>
        <w:spacing w:after="0" w:line="228" w:lineRule="exact"/>
        <w:rPr>
          <w:rFonts w:ascii="Times New Roman" w:cs="Times New Roman" w:eastAsia="Times New Roman" w:hAnsi="Times New Roman"/>
          <w:sz w:val="18"/>
          <w:szCs w:val="18"/>
          <w:color w:val="auto"/>
        </w:rPr>
      </w:pPr>
    </w:p>
    <w:p>
      <w:pPr>
        <w:ind w:left="-8" w:right="220" w:firstLine="654"/>
        <w:spacing w:after="0" w:line="281" w:lineRule="auto"/>
        <w:tabs>
          <w:tab w:leader="none" w:pos="879"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Australian Subplan will operate through a series of Invitations. The Committee will, in its absolute discretion, determine those Eligible Persons who will receive Invitations.</w:t>
      </w:r>
    </w:p>
    <w:p>
      <w:pPr>
        <w:spacing w:after="0" w:line="161" w:lineRule="exact"/>
        <w:rPr>
          <w:rFonts w:ascii="Times New Roman" w:cs="Times New Roman" w:eastAsia="Times New Roman" w:hAnsi="Times New Roman"/>
          <w:sz w:val="18"/>
          <w:szCs w:val="18"/>
          <w:color w:val="auto"/>
        </w:rPr>
      </w:pPr>
    </w:p>
    <w:p>
      <w:pPr>
        <w:jc w:val="both"/>
        <w:ind w:left="-8" w:firstLine="654"/>
        <w:spacing w:after="0" w:line="265" w:lineRule="auto"/>
        <w:tabs>
          <w:tab w:leader="none" w:pos="893"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Invitation may contain terms and conditions that vary between Eligible Persons. The terms and conditions that apply to a grant of Rights under the Plan are to be determined by the Committee and will include each of the following to the extent applicable to the intended features of a particular Invitation and the type of Rights that are the subject of the Invitation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Performance Rights, Service Rights, and/or Restricted Rights):</w:t>
      </w:r>
    </w:p>
    <w:p>
      <w:pPr>
        <w:spacing w:after="0" w:line="176" w:lineRule="exact"/>
        <w:rPr>
          <w:rFonts w:ascii="Times New Roman" w:cs="Times New Roman" w:eastAsia="Times New Roman" w:hAnsi="Times New Roman"/>
          <w:sz w:val="18"/>
          <w:szCs w:val="18"/>
          <w:color w:val="auto"/>
        </w:rPr>
      </w:pPr>
    </w:p>
    <w:p>
      <w:pPr>
        <w:ind w:left="1552" w:hanging="259"/>
        <w:spacing w:after="0"/>
        <w:tabs>
          <w:tab w:leader="none" w:pos="1552"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Eligible Person;</w:t>
      </w:r>
    </w:p>
    <w:p>
      <w:pPr>
        <w:spacing w:after="0" w:line="223" w:lineRule="exact"/>
        <w:rPr>
          <w:rFonts w:ascii="Times New Roman" w:cs="Times New Roman" w:eastAsia="Times New Roman" w:hAnsi="Times New Roman"/>
          <w:sz w:val="18"/>
          <w:szCs w:val="18"/>
          <w:color w:val="auto"/>
        </w:rPr>
      </w:pPr>
    </w:p>
    <w:p>
      <w:pPr>
        <w:ind w:left="1552" w:hanging="259"/>
        <w:spacing w:after="0"/>
        <w:tabs>
          <w:tab w:leader="none" w:pos="1552"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the Invitation;</w:t>
      </w:r>
    </w:p>
    <w:p>
      <w:pPr>
        <w:spacing w:after="0" w:line="224" w:lineRule="exact"/>
        <w:rPr>
          <w:rFonts w:ascii="Times New Roman" w:cs="Times New Roman" w:eastAsia="Times New Roman" w:hAnsi="Times New Roman"/>
          <w:sz w:val="18"/>
          <w:szCs w:val="18"/>
          <w:color w:val="auto"/>
        </w:rPr>
      </w:pPr>
    </w:p>
    <w:p>
      <w:pPr>
        <w:ind w:left="1612" w:hanging="319"/>
        <w:spacing w:after="0"/>
        <w:tabs>
          <w:tab w:leader="none" w:pos="1612"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each type of Right in each Tranche;</w:t>
      </w:r>
    </w:p>
    <w:p>
      <w:pPr>
        <w:spacing w:after="0" w:line="223" w:lineRule="exact"/>
        <w:rPr>
          <w:rFonts w:ascii="Times New Roman" w:cs="Times New Roman" w:eastAsia="Times New Roman" w:hAnsi="Times New Roman"/>
          <w:sz w:val="18"/>
          <w:szCs w:val="18"/>
          <w:color w:val="auto"/>
        </w:rPr>
      </w:pPr>
    </w:p>
    <w:p>
      <w:pPr>
        <w:ind w:left="1592" w:hanging="299"/>
        <w:spacing w:after="0"/>
        <w:tabs>
          <w:tab w:leader="none" w:pos="1592"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which will be nil, unless otherwise determined by the Committee;</w:t>
      </w:r>
    </w:p>
    <w:p>
      <w:pPr>
        <w:spacing w:after="0" w:line="223" w:lineRule="exact"/>
        <w:rPr>
          <w:rFonts w:ascii="Times New Roman" w:cs="Times New Roman" w:eastAsia="Times New Roman" w:hAnsi="Times New Roman"/>
          <w:sz w:val="18"/>
          <w:szCs w:val="18"/>
          <w:color w:val="auto"/>
        </w:rPr>
      </w:pPr>
    </w:p>
    <w:p>
      <w:pPr>
        <w:ind w:left="1552" w:hanging="259"/>
        <w:spacing w:after="0"/>
        <w:tabs>
          <w:tab w:leader="none" w:pos="1552"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Rights, if other than 10 years;</w:t>
      </w:r>
    </w:p>
    <w:p>
      <w:pPr>
        <w:spacing w:after="0" w:line="223" w:lineRule="exact"/>
        <w:rPr>
          <w:rFonts w:ascii="Times New Roman" w:cs="Times New Roman" w:eastAsia="Times New Roman" w:hAnsi="Times New Roman"/>
          <w:sz w:val="18"/>
          <w:szCs w:val="18"/>
          <w:color w:val="auto"/>
        </w:rPr>
      </w:pPr>
    </w:p>
    <w:p>
      <w:pPr>
        <w:ind w:left="1592" w:hanging="299"/>
        <w:spacing w:after="0"/>
        <w:tabs>
          <w:tab w:leader="none" w:pos="1592"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Conditions that apply to Service Rights and/or Performance Rights;</w:t>
      </w:r>
    </w:p>
    <w:p>
      <w:pPr>
        <w:spacing w:after="0" w:line="223" w:lineRule="exact"/>
        <w:rPr>
          <w:rFonts w:ascii="Times New Roman" w:cs="Times New Roman" w:eastAsia="Times New Roman" w:hAnsi="Times New Roman"/>
          <w:sz w:val="18"/>
          <w:szCs w:val="18"/>
          <w:color w:val="auto"/>
        </w:rPr>
      </w:pPr>
    </w:p>
    <w:p>
      <w:pPr>
        <w:ind w:left="1652" w:hanging="359"/>
        <w:spacing w:after="0"/>
        <w:tabs>
          <w:tab w:leader="none" w:pos="1652"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Measurement Period applicable to Performance Rights and Service Rights;</w:t>
      </w:r>
    </w:p>
    <w:p>
      <w:pPr>
        <w:spacing w:after="0" w:line="223" w:lineRule="exact"/>
        <w:rPr>
          <w:rFonts w:ascii="Times New Roman" w:cs="Times New Roman" w:eastAsia="Times New Roman" w:hAnsi="Times New Roman"/>
          <w:sz w:val="18"/>
          <w:szCs w:val="18"/>
          <w:color w:val="auto"/>
        </w:rPr>
      </w:pPr>
    </w:p>
    <w:p>
      <w:pPr>
        <w:ind w:left="1692" w:hanging="399"/>
        <w:spacing w:after="0"/>
        <w:tabs>
          <w:tab w:leader="none" w:pos="1692"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Date or how the Vesting Date will be determined;</w:t>
      </w:r>
    </w:p>
    <w:p>
      <w:pPr>
        <w:spacing w:after="0" w:line="223" w:lineRule="exact"/>
        <w:rPr>
          <w:rFonts w:ascii="Times New Roman" w:cs="Times New Roman" w:eastAsia="Times New Roman" w:hAnsi="Times New Roman"/>
          <w:sz w:val="18"/>
          <w:szCs w:val="18"/>
          <w:color w:val="auto"/>
        </w:rPr>
      </w:pPr>
    </w:p>
    <w:p>
      <w:pPr>
        <w:ind w:left="1592" w:hanging="299"/>
        <w:spacing w:after="0"/>
        <w:tabs>
          <w:tab w:leader="none" w:pos="1592"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post-employment treatment of Service Rights;</w:t>
      </w:r>
    </w:p>
    <w:p>
      <w:pPr>
        <w:spacing w:after="0" w:line="223" w:lineRule="exact"/>
        <w:rPr>
          <w:rFonts w:ascii="Times New Roman" w:cs="Times New Roman" w:eastAsia="Times New Roman" w:hAnsi="Times New Roman"/>
          <w:sz w:val="18"/>
          <w:szCs w:val="18"/>
          <w:color w:val="auto"/>
        </w:rPr>
      </w:pPr>
    </w:p>
    <w:p>
      <w:pPr>
        <w:ind w:left="1552" w:hanging="259"/>
        <w:spacing w:after="0"/>
        <w:tabs>
          <w:tab w:leader="none" w:pos="1552"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Specified Disposal Restrictions period for Common Shares that may be acquired on exercise of vested Rights;</w:t>
      </w:r>
    </w:p>
    <w:p>
      <w:pPr>
        <w:spacing w:after="0" w:line="223" w:lineRule="exact"/>
        <w:rPr>
          <w:rFonts w:ascii="Times New Roman" w:cs="Times New Roman" w:eastAsia="Times New Roman" w:hAnsi="Times New Roman"/>
          <w:sz w:val="18"/>
          <w:szCs w:val="18"/>
          <w:color w:val="auto"/>
        </w:rPr>
      </w:pPr>
    </w:p>
    <w:p>
      <w:pPr>
        <w:ind w:left="1592" w:hanging="299"/>
        <w:spacing w:after="0"/>
        <w:tabs>
          <w:tab w:leader="none" w:pos="1592" w:val="left"/>
        </w:tabs>
        <w:numPr>
          <w:ilvl w:val="2"/>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Restrictions that may apply;</w:t>
      </w:r>
    </w:p>
    <w:p>
      <w:pPr>
        <w:spacing w:after="0" w:line="200" w:lineRule="exact"/>
        <w:rPr>
          <w:sz w:val="20"/>
          <w:szCs w:val="20"/>
          <w:color w:val="auto"/>
        </w:rPr>
      </w:pPr>
    </w:p>
    <w:p>
      <w:pPr>
        <w:spacing w:after="0" w:line="239" w:lineRule="exact"/>
        <w:rPr>
          <w:sz w:val="20"/>
          <w:szCs w:val="20"/>
          <w:color w:val="auto"/>
        </w:rPr>
      </w:pPr>
    </w:p>
    <w:p>
      <w:pPr>
        <w:jc w:val="center"/>
        <w:ind w:right="-9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95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152"/>
          </w:cols>
          <w:pgMar w:left="328" w:top="900" w:right="419" w:bottom="1440" w:gutter="0" w:footer="0" w:header="0"/>
        </w:sectPr>
      </w:pPr>
    </w:p>
    <w:bookmarkStart w:id="181" w:name="page182"/>
    <w:bookmarkEnd w:id="181"/>
    <w:p>
      <w:pPr>
        <w:ind w:left="1652" w:hanging="359"/>
        <w:spacing w:after="0"/>
        <w:tabs>
          <w:tab w:leader="none" w:pos="1652" w:val="left"/>
        </w:tabs>
        <w:numPr>
          <w:ilvl w:val="2"/>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the Rights may be settled at exercise, if settlement is to be restricted;</w:t>
      </w:r>
    </w:p>
    <w:p>
      <w:pPr>
        <w:spacing w:after="0" w:line="223" w:lineRule="exact"/>
        <w:rPr>
          <w:rFonts w:ascii="Times New Roman" w:cs="Times New Roman" w:eastAsia="Times New Roman" w:hAnsi="Times New Roman"/>
          <w:sz w:val="18"/>
          <w:szCs w:val="18"/>
          <w:color w:val="auto"/>
        </w:rPr>
      </w:pPr>
    </w:p>
    <w:p>
      <w:pPr>
        <w:ind w:left="1692" w:hanging="399"/>
        <w:spacing w:after="0"/>
        <w:tabs>
          <w:tab w:leader="none" w:pos="1692" w:val="left"/>
        </w:tabs>
        <w:numPr>
          <w:ilvl w:val="2"/>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Common Shares issued on exercise of Rights must be purchased on-market or may be acquired otherwise;</w:t>
      </w:r>
    </w:p>
    <w:p>
      <w:pPr>
        <w:spacing w:after="0" w:line="224" w:lineRule="exact"/>
        <w:rPr>
          <w:rFonts w:ascii="Times New Roman" w:cs="Times New Roman" w:eastAsia="Times New Roman" w:hAnsi="Times New Roman"/>
          <w:sz w:val="18"/>
          <w:szCs w:val="18"/>
          <w:color w:val="auto"/>
        </w:rPr>
      </w:pPr>
    </w:p>
    <w:p>
      <w:pPr>
        <w:ind w:left="1692" w:hanging="399"/>
        <w:spacing w:after="0"/>
        <w:tabs>
          <w:tab w:leader="none" w:pos="1692" w:val="left"/>
        </w:tabs>
        <w:numPr>
          <w:ilvl w:val="2"/>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terms and conditions that the Committee determines to include; and</w:t>
      </w:r>
    </w:p>
    <w:p>
      <w:pPr>
        <w:spacing w:after="0" w:line="224" w:lineRule="exact"/>
        <w:rPr>
          <w:rFonts w:ascii="Times New Roman" w:cs="Times New Roman" w:eastAsia="Times New Roman" w:hAnsi="Times New Roman"/>
          <w:sz w:val="18"/>
          <w:szCs w:val="18"/>
          <w:color w:val="auto"/>
        </w:rPr>
      </w:pPr>
    </w:p>
    <w:p>
      <w:pPr>
        <w:ind w:left="-8" w:right="280" w:firstLine="1301"/>
        <w:spacing w:after="0" w:line="281" w:lineRule="auto"/>
        <w:tabs>
          <w:tab w:leader="none" w:pos="1629" w:val="left"/>
        </w:tabs>
        <w:numPr>
          <w:ilvl w:val="2"/>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instructions on the process to apply for Rights that are the subject of the Invitation, including the name of the person to whom the Application should be sent and the Application Period.</w:t>
      </w:r>
    </w:p>
    <w:p>
      <w:pPr>
        <w:spacing w:after="0" w:line="161" w:lineRule="exact"/>
        <w:rPr>
          <w:rFonts w:ascii="Times New Roman" w:cs="Times New Roman" w:eastAsia="Times New Roman" w:hAnsi="Times New Roman"/>
          <w:sz w:val="18"/>
          <w:szCs w:val="18"/>
          <w:color w:val="auto"/>
        </w:rPr>
      </w:pPr>
    </w:p>
    <w:p>
      <w:pPr>
        <w:ind w:left="-8" w:right="380" w:firstLine="654"/>
        <w:spacing w:after="0" w:line="281" w:lineRule="auto"/>
        <w:tabs>
          <w:tab w:leader="none" w:pos="879"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of an Invitation or Invitations under this Australian Subplan does not guarantee nor confer any entitlement to receive any other Invitation under this Australian Subplan.</w:t>
      </w:r>
    </w:p>
    <w:p>
      <w:pPr>
        <w:spacing w:after="0" w:line="157" w:lineRule="exact"/>
        <w:rPr>
          <w:rFonts w:ascii="Times New Roman" w:cs="Times New Roman" w:eastAsia="Times New Roman" w:hAnsi="Times New Roman"/>
          <w:sz w:val="18"/>
          <w:szCs w:val="18"/>
          <w:color w:val="auto"/>
        </w:rPr>
      </w:pPr>
    </w:p>
    <w:p>
      <w:pPr>
        <w:ind w:left="-8" w:right="20" w:firstLine="8"/>
        <w:spacing w:after="0" w:line="285" w:lineRule="auto"/>
        <w:tabs>
          <w:tab w:leader="none" w:pos="17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Application for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form of Application and the Application Period shall be determined by the Committee in its discretion from time to time.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submitting an Application, the Eligible Person will be agreeing to be bound by this Australian Subplan and the terms of the Invitation.</w:t>
      </w:r>
    </w:p>
    <w:p>
      <w:pPr>
        <w:spacing w:after="0" w:line="154" w:lineRule="exact"/>
        <w:rPr>
          <w:rFonts w:ascii="Times New Roman" w:cs="Times New Roman" w:eastAsia="Times New Roman" w:hAnsi="Times New Roman"/>
          <w:sz w:val="18"/>
          <w:szCs w:val="18"/>
          <w:color w:val="auto"/>
        </w:rPr>
      </w:pPr>
    </w:p>
    <w:p>
      <w:pPr>
        <w:ind w:left="172" w:hanging="172"/>
        <w:spacing w:after="0"/>
        <w:tabs>
          <w:tab w:leader="none" w:pos="17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Granting of Rights.</w:t>
      </w:r>
    </w:p>
    <w:p>
      <w:pPr>
        <w:spacing w:after="0" w:line="228" w:lineRule="exact"/>
        <w:rPr>
          <w:rFonts w:ascii="Times New Roman" w:cs="Times New Roman" w:eastAsia="Times New Roman" w:hAnsi="Times New Roman"/>
          <w:sz w:val="18"/>
          <w:szCs w:val="18"/>
          <w:color w:val="auto"/>
        </w:rPr>
      </w:pPr>
    </w:p>
    <w:p>
      <w:pPr>
        <w:ind w:left="892" w:hanging="246"/>
        <w:spacing w:after="0"/>
        <w:tabs>
          <w:tab w:leader="none" w:pos="892"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will consider valid Applications that are made in response to Invitations and determine whether or not to accept them.</w:t>
      </w:r>
    </w:p>
    <w:p>
      <w:pPr>
        <w:spacing w:after="0" w:line="224" w:lineRule="exact"/>
        <w:rPr>
          <w:rFonts w:ascii="Times New Roman" w:cs="Times New Roman" w:eastAsia="Times New Roman" w:hAnsi="Times New Roman"/>
          <w:sz w:val="18"/>
          <w:szCs w:val="18"/>
          <w:color w:val="auto"/>
        </w:rPr>
      </w:pPr>
    </w:p>
    <w:p>
      <w:pPr>
        <w:ind w:left="-8" w:right="420" w:firstLine="654"/>
        <w:spacing w:after="0" w:line="281" w:lineRule="auto"/>
        <w:tabs>
          <w:tab w:leader="none" w:pos="893"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accepted Applications, the Committee will use reasonable efforts to grant the Rights within 30 days of the last date of the Application Period, unless otherwise determined by the Committee.</w:t>
      </w:r>
    </w:p>
    <w:p>
      <w:pPr>
        <w:spacing w:after="0" w:line="161" w:lineRule="exact"/>
        <w:rPr>
          <w:rFonts w:ascii="Times New Roman" w:cs="Times New Roman" w:eastAsia="Times New Roman" w:hAnsi="Times New Roman"/>
          <w:sz w:val="18"/>
          <w:szCs w:val="18"/>
          <w:color w:val="auto"/>
        </w:rPr>
      </w:pPr>
    </w:p>
    <w:p>
      <w:pPr>
        <w:ind w:left="892" w:hanging="246"/>
        <w:spacing w:after="0"/>
        <w:tabs>
          <w:tab w:leader="none" w:pos="892"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will be notified in writing when Rights are granted and the date of the grant.</w:t>
      </w:r>
    </w:p>
    <w:p>
      <w:pPr>
        <w:spacing w:after="0" w:line="220" w:lineRule="exact"/>
        <w:rPr>
          <w:rFonts w:ascii="Times New Roman" w:cs="Times New Roman" w:eastAsia="Times New Roman" w:hAnsi="Times New Roman"/>
          <w:sz w:val="18"/>
          <w:szCs w:val="18"/>
          <w:color w:val="auto"/>
        </w:rPr>
      </w:pPr>
    </w:p>
    <w:p>
      <w:pPr>
        <w:ind w:left="-8" w:right="120" w:firstLine="8"/>
        <w:spacing w:after="0" w:line="267" w:lineRule="auto"/>
        <w:tabs>
          <w:tab w:leader="none" w:pos="17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Participants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Eligible Persons whose Applications have been accepted and have been granted Rights will be referred to as Participants; and will remain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until all Rights granted to said Participants have either lapsed or been exercised and both any risk of forfeiture and disposal restrictions applicable to the Common Shares acquired by exercising the Rights have ceased to apply.</w:t>
      </w:r>
    </w:p>
    <w:p>
      <w:pPr>
        <w:spacing w:after="0" w:line="171" w:lineRule="exact"/>
        <w:rPr>
          <w:rFonts w:ascii="Times New Roman" w:cs="Times New Roman" w:eastAsia="Times New Roman" w:hAnsi="Times New Roman"/>
          <w:sz w:val="18"/>
          <w:szCs w:val="18"/>
          <w:color w:val="auto"/>
        </w:rPr>
      </w:pPr>
    </w:p>
    <w:p>
      <w:pPr>
        <w:ind w:left="-8" w:right="320" w:firstLine="8"/>
        <w:spacing w:after="0" w:line="290" w:lineRule="auto"/>
        <w:tabs>
          <w:tab w:leader="none" w:pos="172" w:val="left"/>
        </w:tabs>
        <w:numPr>
          <w:ilvl w:val="0"/>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Rights May Not Be Disposed of, Transferred, or Encumbered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Rights may not be disposed of or transferred or otherwise dealt with (including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purposes of this Section, encumbered or made subject to any interest in favor of any other person) and will lapse immediately on purported disposal, transfer or dealing unless the transfer is effected by operation of law on death or legal incapacity to the Participant’s legal personal representative.</w:t>
      </w:r>
    </w:p>
    <w:p>
      <w:pPr>
        <w:spacing w:after="0" w:line="153" w:lineRule="exact"/>
        <w:rPr>
          <w:rFonts w:ascii="Times New Roman" w:cs="Times New Roman" w:eastAsia="Times New Roman" w:hAnsi="Times New Roman"/>
          <w:sz w:val="17"/>
          <w:szCs w:val="17"/>
          <w:color w:val="auto"/>
        </w:rPr>
      </w:pPr>
    </w:p>
    <w:p>
      <w:pPr>
        <w:ind w:left="272" w:hanging="272"/>
        <w:spacing w:after="0"/>
        <w:tabs>
          <w:tab w:leader="none" w:pos="272"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Measurement Periods</w:t>
      </w:r>
      <w:r>
        <w:rPr>
          <w:rFonts w:ascii="Times New Roman" w:cs="Times New Roman" w:eastAsia="Times New Roman" w:hAnsi="Times New Roman"/>
          <w:sz w:val="18"/>
          <w:szCs w:val="18"/>
          <w:b w:val="1"/>
          <w:bCs w:val="1"/>
          <w:color w:val="auto"/>
        </w:rPr>
        <w:t>.</w:t>
      </w:r>
    </w:p>
    <w:p>
      <w:pPr>
        <w:spacing w:after="0" w:line="227" w:lineRule="exact"/>
        <w:rPr>
          <w:rFonts w:ascii="Times New Roman" w:cs="Times New Roman" w:eastAsia="Times New Roman" w:hAnsi="Times New Roman"/>
          <w:sz w:val="18"/>
          <w:szCs w:val="18"/>
          <w:color w:val="auto"/>
        </w:rPr>
      </w:pPr>
    </w:p>
    <w:p>
      <w:pPr>
        <w:ind w:left="-8" w:right="140" w:firstLine="654"/>
        <w:spacing w:after="0" w:line="265" w:lineRule="auto"/>
        <w:tabs>
          <w:tab w:leader="none" w:pos="879"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Measurement Period applicable to each Performance Right will be three years unless otherwise specified in the Invitation. The Measurement Period for Performance Rights will relate to periods when Performance Criteria must be satisfied, subject to early vesting under </w:t>
      </w:r>
      <w:r>
        <w:rPr>
          <w:rFonts w:ascii="Times New Roman" w:cs="Times New Roman" w:eastAsia="Times New Roman" w:hAnsi="Times New Roman"/>
          <w:sz w:val="18"/>
          <w:szCs w:val="18"/>
          <w:u w:val="single" w:color="auto"/>
          <w:color w:val="auto"/>
        </w:rPr>
        <w:t>Sections 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left="-8" w:firstLine="654"/>
        <w:spacing w:after="0" w:line="281" w:lineRule="auto"/>
        <w:tabs>
          <w:tab w:leader="none" w:pos="89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Measurement Period applicable to each Tranche of Service Rights will be specified in the Invitation. The Measurement Periods for Service Rights will relate to periods when service conditions must be satisfied for them to vest, subject to early vesting under </w:t>
      </w:r>
      <w:r>
        <w:rPr>
          <w:rFonts w:ascii="Times New Roman" w:cs="Times New Roman" w:eastAsia="Times New Roman" w:hAnsi="Times New Roman"/>
          <w:sz w:val="18"/>
          <w:szCs w:val="18"/>
          <w:u w:val="single" w:color="auto"/>
          <w:color w:val="auto"/>
        </w:rPr>
        <w:t>Sections 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8" w:right="360" w:firstLine="654"/>
        <w:spacing w:after="0" w:line="281" w:lineRule="auto"/>
        <w:tabs>
          <w:tab w:leader="none" w:pos="883"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Periods for Performance Rights and Service Rights will commence on the first day of the financial year in which the grant is made unless otherwise determined by the Committee and specified in the Invitation.</w:t>
      </w:r>
    </w:p>
    <w:p>
      <w:pPr>
        <w:spacing w:after="0" w:line="37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95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12"/>
          </w:cols>
          <w:pgMar w:left="328" w:top="902" w:right="359" w:bottom="1440" w:gutter="0" w:footer="0" w:header="0"/>
        </w:sectPr>
      </w:pPr>
    </w:p>
    <w:bookmarkStart w:id="182" w:name="page183"/>
    <w:bookmarkEnd w:id="182"/>
    <w:p>
      <w:pPr>
        <w:ind w:left="272" w:hanging="272"/>
        <w:spacing w:after="0"/>
        <w:tabs>
          <w:tab w:leader="none" w:pos="27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Vesting Conditions</w:t>
      </w:r>
      <w:r>
        <w:rPr>
          <w:rFonts w:ascii="Times New Roman" w:cs="Times New Roman" w:eastAsia="Times New Roman" w:hAnsi="Times New Roman"/>
          <w:sz w:val="18"/>
          <w:szCs w:val="18"/>
          <w:b w:val="1"/>
          <w:bCs w:val="1"/>
          <w:color w:val="auto"/>
        </w:rPr>
        <w:t>.</w:t>
      </w:r>
    </w:p>
    <w:p>
      <w:pPr>
        <w:spacing w:after="0" w:line="228" w:lineRule="exact"/>
        <w:rPr>
          <w:rFonts w:ascii="Times New Roman" w:cs="Times New Roman" w:eastAsia="Times New Roman" w:hAnsi="Times New Roman"/>
          <w:sz w:val="18"/>
          <w:szCs w:val="18"/>
          <w:color w:val="auto"/>
        </w:rPr>
      </w:pPr>
    </w:p>
    <w:p>
      <w:pPr>
        <w:ind w:left="892" w:hanging="246"/>
        <w:spacing w:after="0"/>
        <w:tabs>
          <w:tab w:leader="none" w:pos="892"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Conditions may relate to:</w:t>
      </w:r>
    </w:p>
    <w:p>
      <w:pPr>
        <w:spacing w:after="0" w:line="223" w:lineRule="exact"/>
        <w:rPr>
          <w:rFonts w:ascii="Times New Roman" w:cs="Times New Roman" w:eastAsia="Times New Roman" w:hAnsi="Times New Roman"/>
          <w:sz w:val="18"/>
          <w:szCs w:val="18"/>
          <w:color w:val="auto"/>
        </w:rPr>
      </w:pPr>
    </w:p>
    <w:p>
      <w:pPr>
        <w:ind w:left="1512" w:hanging="219"/>
        <w:spacing w:after="0"/>
        <w:tabs>
          <w:tab w:leader="none" w:pos="1512" w:val="left"/>
        </w:tabs>
        <w:numPr>
          <w:ilvl w:val="3"/>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the Company or an aspect of the Company’s operations or the performance of the Participant;</w:t>
      </w:r>
    </w:p>
    <w:p>
      <w:pPr>
        <w:spacing w:after="0" w:line="224" w:lineRule="exact"/>
        <w:rPr>
          <w:rFonts w:ascii="Times New Roman" w:cs="Times New Roman" w:eastAsia="Times New Roman" w:hAnsi="Times New Roman"/>
          <w:sz w:val="18"/>
          <w:szCs w:val="18"/>
          <w:color w:val="auto"/>
        </w:rPr>
      </w:pPr>
    </w:p>
    <w:p>
      <w:pPr>
        <w:ind w:left="1552" w:hanging="259"/>
        <w:spacing w:after="0"/>
        <w:tabs>
          <w:tab w:leader="none" w:pos="1552" w:val="left"/>
        </w:tabs>
        <w:numPr>
          <w:ilvl w:val="3"/>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service of the Participant with the Group; or</w:t>
      </w:r>
    </w:p>
    <w:p>
      <w:pPr>
        <w:spacing w:after="0" w:line="224" w:lineRule="exact"/>
        <w:rPr>
          <w:rFonts w:ascii="Times New Roman" w:cs="Times New Roman" w:eastAsia="Times New Roman" w:hAnsi="Times New Roman"/>
          <w:sz w:val="18"/>
          <w:szCs w:val="18"/>
          <w:color w:val="auto"/>
        </w:rPr>
      </w:pPr>
    </w:p>
    <w:p>
      <w:pPr>
        <w:ind w:left="1612" w:hanging="319"/>
        <w:spacing w:after="0"/>
        <w:tabs>
          <w:tab w:leader="none" w:pos="1612" w:val="left"/>
        </w:tabs>
        <w:numPr>
          <w:ilvl w:val="3"/>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 determined by the Committee for each Right.</w:t>
      </w:r>
    </w:p>
    <w:p>
      <w:pPr>
        <w:spacing w:after="0" w:line="223" w:lineRule="exact"/>
        <w:rPr>
          <w:rFonts w:ascii="Times New Roman" w:cs="Times New Roman" w:eastAsia="Times New Roman" w:hAnsi="Times New Roman"/>
          <w:sz w:val="18"/>
          <w:szCs w:val="18"/>
          <w:color w:val="auto"/>
        </w:rPr>
      </w:pPr>
    </w:p>
    <w:p>
      <w:pPr>
        <w:ind w:left="-8" w:right="840" w:firstLine="654"/>
        <w:spacing w:after="0" w:line="281" w:lineRule="auto"/>
        <w:tabs>
          <w:tab w:leader="none" w:pos="89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Vesting Conditions, if applicable, must be specified in the Invitation, along with the relationship between various potential levels of performance and levels of vesting that may occur.</w:t>
      </w:r>
    </w:p>
    <w:p>
      <w:pPr>
        <w:spacing w:after="0" w:line="161" w:lineRule="exact"/>
        <w:rPr>
          <w:rFonts w:ascii="Times New Roman" w:cs="Times New Roman" w:eastAsia="Times New Roman" w:hAnsi="Times New Roman"/>
          <w:sz w:val="18"/>
          <w:szCs w:val="18"/>
          <w:color w:val="auto"/>
        </w:rPr>
      </w:pPr>
    </w:p>
    <w:p>
      <w:pPr>
        <w:ind w:left="892" w:hanging="246"/>
        <w:spacing w:after="0"/>
        <w:tabs>
          <w:tab w:leader="none" w:pos="892"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Criteria may vary between the Rights.</w:t>
      </w:r>
    </w:p>
    <w:p>
      <w:pPr>
        <w:spacing w:after="0" w:line="220" w:lineRule="exact"/>
        <w:rPr>
          <w:rFonts w:ascii="Times New Roman" w:cs="Times New Roman" w:eastAsia="Times New Roman" w:hAnsi="Times New Roman"/>
          <w:sz w:val="18"/>
          <w:szCs w:val="18"/>
          <w:color w:val="auto"/>
        </w:rPr>
      </w:pPr>
    </w:p>
    <w:p>
      <w:pPr>
        <w:ind w:left="272" w:hanging="272"/>
        <w:spacing w:after="0"/>
        <w:tabs>
          <w:tab w:leader="none" w:pos="27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Vesting of Performance Rights</w:t>
      </w:r>
      <w:r>
        <w:rPr>
          <w:rFonts w:ascii="Times New Roman" w:cs="Times New Roman" w:eastAsia="Times New Roman" w:hAnsi="Times New Roman"/>
          <w:sz w:val="18"/>
          <w:szCs w:val="18"/>
          <w:b w:val="1"/>
          <w:bCs w:val="1"/>
          <w:color w:val="auto"/>
        </w:rPr>
        <w:t>.</w:t>
      </w:r>
    </w:p>
    <w:p>
      <w:pPr>
        <w:spacing w:after="0" w:line="227" w:lineRule="exact"/>
        <w:rPr>
          <w:rFonts w:ascii="Times New Roman" w:cs="Times New Roman" w:eastAsia="Times New Roman" w:hAnsi="Times New Roman"/>
          <w:sz w:val="18"/>
          <w:szCs w:val="18"/>
          <w:color w:val="auto"/>
        </w:rPr>
      </w:pPr>
    </w:p>
    <w:p>
      <w:pPr>
        <w:ind w:left="112" w:right="100" w:firstLine="642"/>
        <w:spacing w:after="0" w:line="265" w:lineRule="auto"/>
        <w:tabs>
          <w:tab w:leader="none" w:pos="1003" w:val="left"/>
        </w:tabs>
        <w:numPr>
          <w:ilvl w:val="2"/>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end of the Measurement Period, the Committee will determine for each Tranche of Performance Rights to which the Measurement Period applies, and which have not previously lapsed or vested, the extent to which the Rights have vested, if at all, and notify Participants in a Vesting Notice of both the extent of vesting and the Vesting Date.</w:t>
      </w:r>
    </w:p>
    <w:p>
      <w:pPr>
        <w:spacing w:after="0" w:line="176" w:lineRule="exact"/>
        <w:rPr>
          <w:rFonts w:ascii="Times New Roman" w:cs="Times New Roman" w:eastAsia="Times New Roman" w:hAnsi="Times New Roman"/>
          <w:sz w:val="18"/>
          <w:szCs w:val="18"/>
          <w:color w:val="auto"/>
        </w:rPr>
      </w:pPr>
    </w:p>
    <w:p>
      <w:pPr>
        <w:jc w:val="both"/>
        <w:ind w:left="112" w:right="20" w:firstLine="642"/>
        <w:spacing w:after="0" w:line="280" w:lineRule="auto"/>
        <w:tabs>
          <w:tab w:leader="none" w:pos="1013" w:val="left"/>
        </w:tabs>
        <w:numPr>
          <w:ilvl w:val="2"/>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the end of a Measurement Period the Committee may determine that some or all of the Performance Rights held by a Participant will vest in which case the Committee will notify Participants in a Vesting Notice of both the extent of vesting and the Vesting Date. In such circumstances the Committee also has absolute discretion to determine that Exercise Restrictions (if any) are lifted, and that any remaining unvested Performance Rights will be forfeited in which case the Committee shall notify Participants in writing, in a form determined by the Committee in its absolute discretion.</w:t>
      </w:r>
    </w:p>
    <w:p>
      <w:pPr>
        <w:spacing w:after="0" w:line="165" w:lineRule="exact"/>
        <w:rPr>
          <w:rFonts w:ascii="Times New Roman" w:cs="Times New Roman" w:eastAsia="Times New Roman" w:hAnsi="Times New Roman"/>
          <w:sz w:val="17"/>
          <w:szCs w:val="17"/>
          <w:color w:val="auto"/>
        </w:rPr>
      </w:pPr>
    </w:p>
    <w:p>
      <w:pPr>
        <w:ind w:left="992" w:hanging="238"/>
        <w:spacing w:after="0"/>
        <w:tabs>
          <w:tab w:leader="none" w:pos="992" w:val="left"/>
        </w:tabs>
        <w:numPr>
          <w:ilvl w:val="2"/>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Committee Discretion Regarding Vesting of Performance Rights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8" w:firstLine="1301"/>
        <w:spacing w:after="0" w:line="265" w:lineRule="auto"/>
        <w:tabs>
          <w:tab w:leader="none" w:pos="1496" w:val="left"/>
        </w:tabs>
        <w:numPr>
          <w:ilvl w:val="3"/>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retains discretion to increase or decrease, including to nil, the Performance Criteria applicable to Performance Rights. In exercising this discretion, the Committee shall take into account, amongst other factors it considers relevant, Company performance from the perspective of shareholders over the relevant Measurement Period.</w:t>
      </w:r>
    </w:p>
    <w:p>
      <w:pPr>
        <w:spacing w:after="0" w:line="176" w:lineRule="exact"/>
        <w:rPr>
          <w:rFonts w:ascii="Times New Roman" w:cs="Times New Roman" w:eastAsia="Times New Roman" w:hAnsi="Times New Roman"/>
          <w:sz w:val="18"/>
          <w:szCs w:val="18"/>
          <w:color w:val="auto"/>
        </w:rPr>
      </w:pPr>
    </w:p>
    <w:p>
      <w:pPr>
        <w:ind w:left="-8" w:right="300" w:firstLine="1301"/>
        <w:spacing w:after="0" w:line="281" w:lineRule="auto"/>
        <w:tabs>
          <w:tab w:leader="none" w:pos="1549" w:val="left"/>
        </w:tabs>
        <w:numPr>
          <w:ilvl w:val="3"/>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exercising its discretion under this Section, the Committee may seek advice from an independent advisor as to whether the discretion should be exercised and if so then the alternative extent of vesting that should be considered by the Committee.</w:t>
      </w:r>
    </w:p>
    <w:p>
      <w:pPr>
        <w:spacing w:after="0" w:line="157" w:lineRule="exact"/>
        <w:rPr>
          <w:rFonts w:ascii="Times New Roman" w:cs="Times New Roman" w:eastAsia="Times New Roman" w:hAnsi="Times New Roman"/>
          <w:sz w:val="18"/>
          <w:szCs w:val="18"/>
          <w:color w:val="auto"/>
        </w:rPr>
      </w:pPr>
    </w:p>
    <w:p>
      <w:pPr>
        <w:ind w:left="272" w:hanging="272"/>
        <w:spacing w:after="0"/>
        <w:tabs>
          <w:tab w:leader="none" w:pos="27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Vesting of Service Rights</w:t>
      </w:r>
      <w:r>
        <w:rPr>
          <w:rFonts w:ascii="Times New Roman" w:cs="Times New Roman" w:eastAsia="Times New Roman" w:hAnsi="Times New Roman"/>
          <w:sz w:val="18"/>
          <w:szCs w:val="18"/>
          <w:b w:val="1"/>
          <w:bCs w:val="1"/>
          <w:color w:val="auto"/>
        </w:rPr>
        <w:t>.</w:t>
      </w:r>
    </w:p>
    <w:p>
      <w:pPr>
        <w:spacing w:after="0" w:line="227" w:lineRule="exact"/>
        <w:rPr>
          <w:rFonts w:ascii="Times New Roman" w:cs="Times New Roman" w:eastAsia="Times New Roman" w:hAnsi="Times New Roman"/>
          <w:sz w:val="18"/>
          <w:szCs w:val="18"/>
          <w:color w:val="auto"/>
        </w:rPr>
      </w:pPr>
    </w:p>
    <w:p>
      <w:pPr>
        <w:ind w:left="-8" w:right="80" w:firstLine="654"/>
        <w:spacing w:after="0" w:line="311" w:lineRule="auto"/>
        <w:tabs>
          <w:tab w:leader="none" w:pos="883" w:val="left"/>
        </w:tabs>
        <w:numPr>
          <w:ilvl w:val="1"/>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 the end of the Measurement Period, the Committee will determine for each Service Right to which the Measurement Period applies and which have not previously lapsed, the extent to which the Service Right has vested, if at all, and notify Participants in writing of the Vesting Date.</w:t>
      </w:r>
    </w:p>
    <w:p>
      <w:pPr>
        <w:spacing w:after="0" w:line="139" w:lineRule="exact"/>
        <w:rPr>
          <w:rFonts w:ascii="Times New Roman" w:cs="Times New Roman" w:eastAsia="Times New Roman" w:hAnsi="Times New Roman"/>
          <w:sz w:val="17"/>
          <w:szCs w:val="17"/>
          <w:color w:val="auto"/>
        </w:rPr>
      </w:pPr>
    </w:p>
    <w:p>
      <w:pPr>
        <w:ind w:left="-8" w:right="20" w:firstLine="654"/>
        <w:spacing w:after="0" w:line="260" w:lineRule="auto"/>
        <w:tabs>
          <w:tab w:leader="none" w:pos="893"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end of a Measurement Period the Committee may determine that some or all of the Service Rights held by a Participant will vest in which case the Committee will notify Participants in a Vesting Notice of both the extent of vesting and the Vesting Date. In such circumstances the Committee also has absolute discretion to determine that Exercise Restrictions (if any) are lifted, and that any remaining unvested Service Rights will be forfeited in which case the Committee shall notify Participants in writing.</w:t>
      </w:r>
    </w:p>
    <w:p>
      <w:pPr>
        <w:spacing w:after="0" w:line="396"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95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192"/>
          </w:cols>
          <w:pgMar w:left="328" w:top="898" w:right="379" w:bottom="1440" w:gutter="0" w:footer="0" w:header="0"/>
        </w:sectPr>
      </w:pPr>
    </w:p>
    <w:bookmarkStart w:id="183" w:name="page184"/>
    <w:bookmarkEnd w:id="183"/>
    <w:p>
      <w:pPr>
        <w:ind w:right="120" w:firstLine="8"/>
        <w:spacing w:after="0" w:line="285" w:lineRule="auto"/>
        <w:tabs>
          <w:tab w:leader="none" w:pos="269"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Vesting of Restricted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Rights are fully vested on the grant date, therefore the Grant Notice and the Vesting Notice may be combined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the grant date is also the Vesting Date for Restricted Rights.)</w:t>
      </w:r>
    </w:p>
    <w:p>
      <w:pPr>
        <w:spacing w:after="0" w:line="154"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Lapsing of Rights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will lapse automatically on the earlier of:</w:t>
      </w:r>
    </w:p>
    <w:p>
      <w:pPr>
        <w:spacing w:after="0" w:line="228" w:lineRule="exact"/>
        <w:rPr>
          <w:rFonts w:ascii="Times New Roman" w:cs="Times New Roman" w:eastAsia="Times New Roman" w:hAnsi="Times New Roman"/>
          <w:sz w:val="18"/>
          <w:szCs w:val="18"/>
          <w:color w:val="auto"/>
        </w:rPr>
      </w:pPr>
    </w:p>
    <w:p>
      <w:pPr>
        <w:ind w:left="1000" w:hanging="238"/>
        <w:spacing w:after="0"/>
        <w:tabs>
          <w:tab w:leader="none" w:pos="1000" w:val="left"/>
        </w:tabs>
        <w:numPr>
          <w:ilvl w:val="2"/>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when there is no longer an opportunity for the Right; or</w:t>
      </w:r>
    </w:p>
    <w:p>
      <w:pPr>
        <w:spacing w:after="0" w:line="224" w:lineRule="exact"/>
        <w:rPr>
          <w:rFonts w:ascii="Times New Roman" w:cs="Times New Roman" w:eastAsia="Times New Roman" w:hAnsi="Times New Roman"/>
          <w:sz w:val="18"/>
          <w:szCs w:val="18"/>
          <w:color w:val="auto"/>
        </w:rPr>
      </w:pPr>
    </w:p>
    <w:p>
      <w:pPr>
        <w:ind w:left="1020" w:hanging="258"/>
        <w:spacing w:after="0"/>
        <w:tabs>
          <w:tab w:leader="none" w:pos="1020" w:val="left"/>
        </w:tabs>
        <w:numPr>
          <w:ilvl w:val="2"/>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end of the term for the Right as set forth in the Invitation.</w:t>
      </w:r>
    </w:p>
    <w:p>
      <w:pPr>
        <w:spacing w:after="0" w:line="21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Exercise of Rights and Exercise Restrictions</w:t>
      </w:r>
      <w:r>
        <w:rPr>
          <w:rFonts w:ascii="Times New Roman" w:cs="Times New Roman" w:eastAsia="Times New Roman" w:hAnsi="Times New Roman"/>
          <w:sz w:val="18"/>
          <w:szCs w:val="18"/>
          <w:b w:val="1"/>
          <w:bCs w:val="1"/>
          <w:color w:val="auto"/>
        </w:rPr>
        <w:t>.</w:t>
      </w:r>
    </w:p>
    <w:p>
      <w:pPr>
        <w:spacing w:after="0" w:line="228" w:lineRule="exact"/>
        <w:rPr>
          <w:rFonts w:ascii="Times New Roman" w:cs="Times New Roman" w:eastAsia="Times New Roman" w:hAnsi="Times New Roman"/>
          <w:sz w:val="18"/>
          <w:szCs w:val="18"/>
          <w:color w:val="auto"/>
        </w:rPr>
      </w:pPr>
    </w:p>
    <w:p>
      <w:pPr>
        <w:ind w:right="60" w:firstLine="654"/>
        <w:spacing w:after="0" w:line="281" w:lineRule="auto"/>
        <w:tabs>
          <w:tab w:leader="none" w:pos="881"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Invitation may specify an Exercise Restriction which is a period during which vested Rights may not be exercised, and any attempt to do so will be considered void, subject to the early release of Exercise Restrictions under </w:t>
      </w:r>
      <w:r>
        <w:rPr>
          <w:rFonts w:ascii="Times New Roman" w:cs="Times New Roman" w:eastAsia="Times New Roman" w:hAnsi="Times New Roman"/>
          <w:sz w:val="18"/>
          <w:szCs w:val="18"/>
          <w:u w:val="single" w:color="auto"/>
          <w:color w:val="auto"/>
        </w:rPr>
        <w:t>Sections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18</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580" w:firstLine="654"/>
        <w:spacing w:after="0" w:line="281" w:lineRule="auto"/>
        <w:tabs>
          <w:tab w:leader="none" w:pos="901"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Rights are subject to an Exercise Restriction for 90 days following the grant date, unless a longer period is determined by the Committee and specified in the Invitation.</w:t>
      </w:r>
    </w:p>
    <w:p>
      <w:pPr>
        <w:spacing w:after="0" w:line="161" w:lineRule="exact"/>
        <w:rPr>
          <w:rFonts w:ascii="Times New Roman" w:cs="Times New Roman" w:eastAsia="Times New Roman" w:hAnsi="Times New Roman"/>
          <w:sz w:val="18"/>
          <w:szCs w:val="18"/>
          <w:color w:val="auto"/>
        </w:rPr>
      </w:pPr>
    </w:p>
    <w:p>
      <w:pPr>
        <w:ind w:right="60" w:firstLine="654"/>
        <w:spacing w:after="0" w:line="281" w:lineRule="auto"/>
        <w:tabs>
          <w:tab w:leader="none" w:pos="891"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may be exercised at any time between the latter of the vesting date or the elapsing of the Exercise Restriction (if applicable) and the end of their term.</w:t>
      </w:r>
    </w:p>
    <w:p>
      <w:pPr>
        <w:spacing w:after="0" w:line="161" w:lineRule="exact"/>
        <w:rPr>
          <w:rFonts w:ascii="Times New Roman" w:cs="Times New Roman" w:eastAsia="Times New Roman" w:hAnsi="Times New Roman"/>
          <w:sz w:val="18"/>
          <w:szCs w:val="18"/>
          <w:color w:val="auto"/>
        </w:rPr>
      </w:pPr>
    </w:p>
    <w:p>
      <w:pPr>
        <w:ind w:left="900" w:hanging="246"/>
        <w:spacing w:after="0"/>
        <w:tabs>
          <w:tab w:leader="none" w:pos="9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Exercise Notice will be in the form determined by the Committee from time to time, and provided to the Participant with a Vesting Notice.</w:t>
      </w:r>
    </w:p>
    <w:p>
      <w:pPr>
        <w:spacing w:after="0" w:line="224" w:lineRule="exact"/>
        <w:rPr>
          <w:rFonts w:ascii="Times New Roman" w:cs="Times New Roman" w:eastAsia="Times New Roman" w:hAnsi="Times New Roman"/>
          <w:sz w:val="18"/>
          <w:szCs w:val="18"/>
          <w:color w:val="auto"/>
        </w:rPr>
      </w:pPr>
    </w:p>
    <w:p>
      <w:pPr>
        <w:ind w:firstLine="654"/>
        <w:spacing w:after="0" w:line="265" w:lineRule="auto"/>
        <w:tabs>
          <w:tab w:leader="none" w:pos="891"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in an Invitation, upon exercise of Rights the Committee will determine in its absolute discretion whether to settle the Exercised Rights Value in Common Shares (including Restricted Shares), a cash payment, or a combination of Common Shares and a cash payment. The Committee will advise the Participant in writing of the result of its determination, in the Vesting Notice.</w:t>
      </w:r>
    </w:p>
    <w:p>
      <w:pPr>
        <w:spacing w:after="0" w:line="176" w:lineRule="exact"/>
        <w:rPr>
          <w:rFonts w:ascii="Times New Roman" w:cs="Times New Roman" w:eastAsia="Times New Roman" w:hAnsi="Times New Roman"/>
          <w:sz w:val="18"/>
          <w:szCs w:val="18"/>
          <w:color w:val="auto"/>
        </w:rPr>
      </w:pPr>
    </w:p>
    <w:p>
      <w:pPr>
        <w:ind w:left="880" w:hanging="226"/>
        <w:spacing w:after="0"/>
        <w:tabs>
          <w:tab w:leader="none" w:pos="88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Exercised Rights Value is to be provided in Common Shares, the Committee will in its discretion, either:</w:t>
      </w:r>
    </w:p>
    <w:p>
      <w:pPr>
        <w:spacing w:after="0" w:line="223" w:lineRule="exact"/>
        <w:rPr>
          <w:rFonts w:ascii="Times New Roman" w:cs="Times New Roman" w:eastAsia="Times New Roman" w:hAnsi="Times New Roman"/>
          <w:sz w:val="18"/>
          <w:szCs w:val="18"/>
          <w:color w:val="auto"/>
        </w:rPr>
      </w:pPr>
    </w:p>
    <w:p>
      <w:pPr>
        <w:ind w:left="1520" w:hanging="219"/>
        <w:spacing w:after="0"/>
        <w:tabs>
          <w:tab w:leader="none" w:pos="1520" w:val="left"/>
        </w:tabs>
        <w:numPr>
          <w:ilvl w:val="3"/>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Common Shares to Participants, or</w:t>
      </w:r>
    </w:p>
    <w:p>
      <w:pPr>
        <w:spacing w:after="0" w:line="223" w:lineRule="exact"/>
        <w:rPr>
          <w:rFonts w:ascii="Times New Roman" w:cs="Times New Roman" w:eastAsia="Times New Roman" w:hAnsi="Times New Roman"/>
          <w:sz w:val="18"/>
          <w:szCs w:val="18"/>
          <w:color w:val="auto"/>
        </w:rPr>
      </w:pPr>
    </w:p>
    <w:p>
      <w:pPr>
        <w:ind w:right="60" w:firstLine="1301"/>
        <w:spacing w:after="0" w:line="265" w:lineRule="auto"/>
        <w:tabs>
          <w:tab w:leader="none" w:pos="1557" w:val="left"/>
        </w:tabs>
        <w:numPr>
          <w:ilvl w:val="3"/>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 for Common Shares to be acquired for the benefit of Participants by the trustee of the EST, if any. The Company or another Group Company will contribute such funds as are needed from time to time to the EST trustee to enable the EST trustee to acquire Common Shares and the trustee shall apply those funds to acquire Common Shares by:</w:t>
      </w:r>
    </w:p>
    <w:p>
      <w:pPr>
        <w:spacing w:after="0" w:line="176" w:lineRule="exact"/>
        <w:rPr>
          <w:rFonts w:ascii="Times New Roman" w:cs="Times New Roman" w:eastAsia="Times New Roman" w:hAnsi="Times New Roman"/>
          <w:sz w:val="18"/>
          <w:szCs w:val="18"/>
          <w:color w:val="auto"/>
        </w:rPr>
      </w:pPr>
    </w:p>
    <w:p>
      <w:pPr>
        <w:ind w:left="2240" w:hanging="293"/>
        <w:spacing w:after="0"/>
        <w:tabs>
          <w:tab w:leader="none" w:pos="2240" w:val="left"/>
        </w:tabs>
        <w:numPr>
          <w:ilvl w:val="4"/>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on-market purchase, or</w:t>
      </w:r>
    </w:p>
    <w:p>
      <w:pPr>
        <w:spacing w:after="0" w:line="223" w:lineRule="exact"/>
        <w:rPr>
          <w:rFonts w:ascii="Times New Roman" w:cs="Times New Roman" w:eastAsia="Times New Roman" w:hAnsi="Times New Roman"/>
          <w:sz w:val="18"/>
          <w:szCs w:val="18"/>
          <w:color w:val="auto"/>
        </w:rPr>
      </w:pPr>
    </w:p>
    <w:p>
      <w:pPr>
        <w:ind w:left="2240" w:hanging="293"/>
        <w:spacing w:after="0"/>
        <w:tabs>
          <w:tab w:leader="none" w:pos="2240" w:val="left"/>
        </w:tabs>
        <w:numPr>
          <w:ilvl w:val="4"/>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to a new issue as directed by the Committee.</w:t>
      </w:r>
    </w:p>
    <w:p>
      <w:pPr>
        <w:spacing w:after="0" w:line="223" w:lineRule="exact"/>
        <w:rPr>
          <w:rFonts w:ascii="Times New Roman" w:cs="Times New Roman" w:eastAsia="Times New Roman" w:hAnsi="Times New Roman"/>
          <w:sz w:val="18"/>
          <w:szCs w:val="18"/>
          <w:color w:val="auto"/>
        </w:rPr>
      </w:pPr>
    </w:p>
    <w:p>
      <w:pPr>
        <w:ind w:left="900" w:hanging="246"/>
        <w:spacing w:after="0"/>
        <w:tabs>
          <w:tab w:leader="none" w:pos="9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Exercised Rights Value is to be paid in cash it will be paid via payroll less any legally required withholdings such as</w:t>
      </w:r>
    </w:p>
    <w:p>
      <w:pPr>
        <w:spacing w:after="0" w:line="2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PAYG tax.</w:t>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84" w:name="page185"/>
    <w:bookmarkEnd w:id="184"/>
    <w:p>
      <w:pPr>
        <w:ind w:left="272" w:hanging="272"/>
        <w:spacing w:after="0"/>
        <w:tabs>
          <w:tab w:leader="none" w:pos="27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Disposal Restrictions Attached to Common Shares</w:t>
      </w:r>
      <w:r>
        <w:rPr>
          <w:rFonts w:ascii="Times New Roman" w:cs="Times New Roman" w:eastAsia="Times New Roman" w:hAnsi="Times New Roman"/>
          <w:sz w:val="18"/>
          <w:szCs w:val="18"/>
          <w:color w:val="auto"/>
        </w:rPr>
        <w:t>.</w:t>
      </w:r>
    </w:p>
    <w:p>
      <w:pPr>
        <w:spacing w:after="0" w:line="228" w:lineRule="exact"/>
        <w:rPr>
          <w:rFonts w:ascii="Times New Roman" w:cs="Times New Roman" w:eastAsia="Times New Roman" w:hAnsi="Times New Roman"/>
          <w:sz w:val="18"/>
          <w:szCs w:val="18"/>
          <w:color w:val="auto"/>
        </w:rPr>
      </w:pPr>
    </w:p>
    <w:p>
      <w:pPr>
        <w:ind w:left="-8" w:right="60" w:firstLine="654"/>
        <w:spacing w:after="0" w:line="265" w:lineRule="auto"/>
        <w:tabs>
          <w:tab w:leader="none" w:pos="873"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Common Shares acquired by Participants or held by the trustee of the EST for the benefit of Participants following the exercise of Rights are initially Restricted Shares, and shall be subject to a disposal restriction being that such Common Shares may not be sold or disposed of in any way until their sale would not breach either:</w:t>
      </w:r>
    </w:p>
    <w:p>
      <w:pPr>
        <w:spacing w:after="0" w:line="176" w:lineRule="exact"/>
        <w:rPr>
          <w:rFonts w:ascii="Times New Roman" w:cs="Times New Roman" w:eastAsia="Times New Roman" w:hAnsi="Times New Roman"/>
          <w:sz w:val="18"/>
          <w:szCs w:val="18"/>
          <w:color w:val="auto"/>
        </w:rPr>
      </w:pPr>
    </w:p>
    <w:p>
      <w:pPr>
        <w:ind w:left="1512" w:hanging="219"/>
        <w:spacing w:after="0"/>
        <w:tabs>
          <w:tab w:leader="none" w:pos="1512"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Common Share trading policy;</w:t>
      </w:r>
    </w:p>
    <w:p>
      <w:pPr>
        <w:spacing w:after="0" w:line="224" w:lineRule="exact"/>
        <w:rPr>
          <w:rFonts w:ascii="Times New Roman" w:cs="Times New Roman" w:eastAsia="Times New Roman" w:hAnsi="Times New Roman"/>
          <w:sz w:val="18"/>
          <w:szCs w:val="18"/>
          <w:color w:val="auto"/>
        </w:rPr>
      </w:pPr>
    </w:p>
    <w:p>
      <w:pPr>
        <w:ind w:left="1552" w:hanging="259"/>
        <w:spacing w:after="0"/>
        <w:tabs>
          <w:tab w:leader="none" w:pos="1552"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insider trading; and</w:t>
      </w:r>
    </w:p>
    <w:p>
      <w:pPr>
        <w:spacing w:after="0" w:line="224" w:lineRule="exact"/>
        <w:rPr>
          <w:rFonts w:ascii="Times New Roman" w:cs="Times New Roman" w:eastAsia="Times New Roman" w:hAnsi="Times New Roman"/>
          <w:sz w:val="18"/>
          <w:szCs w:val="18"/>
          <w:color w:val="auto"/>
        </w:rPr>
      </w:pPr>
    </w:p>
    <w:p>
      <w:pPr>
        <w:ind w:left="1612" w:hanging="319"/>
        <w:spacing w:after="0"/>
        <w:tabs>
          <w:tab w:leader="none" w:pos="1612" w:val="left"/>
        </w:tabs>
        <w:numPr>
          <w:ilvl w:val="2"/>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Specified Disposal Restrictions in an Invitation, if applicable.</w:t>
      </w:r>
    </w:p>
    <w:p>
      <w:pPr>
        <w:spacing w:after="0" w:line="223" w:lineRule="exact"/>
        <w:rPr>
          <w:rFonts w:ascii="Times New Roman" w:cs="Times New Roman" w:eastAsia="Times New Roman" w:hAnsi="Times New Roman"/>
          <w:sz w:val="18"/>
          <w:szCs w:val="18"/>
          <w:color w:val="auto"/>
        </w:rPr>
      </w:pPr>
    </w:p>
    <w:p>
      <w:pPr>
        <w:ind w:left="-8" w:right="40" w:firstLine="654"/>
        <w:spacing w:after="0" w:line="281" w:lineRule="auto"/>
        <w:tabs>
          <w:tab w:leader="none" w:pos="883"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attempt by a Participant to deal in or dispose of Restricted Shares will result in forfeiture of the Restricted Shares, and the Committee may require the Participant to facilitate a transfer of forfeited Restricted Shares to another party nominated by the Committee, for nil consideration.</w:t>
      </w:r>
    </w:p>
    <w:p>
      <w:pPr>
        <w:spacing w:after="0" w:line="161" w:lineRule="exact"/>
        <w:rPr>
          <w:rFonts w:ascii="Times New Roman" w:cs="Times New Roman" w:eastAsia="Times New Roman" w:hAnsi="Times New Roman"/>
          <w:sz w:val="18"/>
          <w:szCs w:val="18"/>
          <w:color w:val="auto"/>
        </w:rPr>
      </w:pPr>
    </w:p>
    <w:p>
      <w:pPr>
        <w:ind w:left="-8" w:right="560" w:firstLine="654"/>
        <w:spacing w:after="0" w:line="281" w:lineRule="auto"/>
        <w:tabs>
          <w:tab w:leader="none" w:pos="883"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cases of severe and demonstrable hardship the Committee may in its absolute discretion waive the remaining portion of the Specified Disposal Restriction period.</w:t>
      </w:r>
    </w:p>
    <w:p>
      <w:pPr>
        <w:spacing w:after="0" w:line="161" w:lineRule="exact"/>
        <w:rPr>
          <w:rFonts w:ascii="Times New Roman" w:cs="Times New Roman" w:eastAsia="Times New Roman" w:hAnsi="Times New Roman"/>
          <w:sz w:val="18"/>
          <w:szCs w:val="18"/>
          <w:color w:val="auto"/>
        </w:rPr>
      </w:pPr>
    </w:p>
    <w:p>
      <w:pPr>
        <w:ind w:left="-8" w:right="120" w:firstLine="654"/>
        <w:spacing w:after="0" w:line="281" w:lineRule="auto"/>
        <w:tabs>
          <w:tab w:leader="none" w:pos="893"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Common Shares subject to Specified Disposal Restrictions are held in the name of the Participant then the Company shall impose a holding lock to ensure that the disposal restrictions are complied with.</w:t>
      </w:r>
    </w:p>
    <w:p>
      <w:pPr>
        <w:spacing w:after="0" w:line="161" w:lineRule="exact"/>
        <w:rPr>
          <w:rFonts w:ascii="Times New Roman" w:cs="Times New Roman" w:eastAsia="Times New Roman" w:hAnsi="Times New Roman"/>
          <w:sz w:val="18"/>
          <w:szCs w:val="18"/>
          <w:color w:val="auto"/>
        </w:rPr>
      </w:pPr>
    </w:p>
    <w:p>
      <w:pPr>
        <w:ind w:left="-8" w:firstLine="654"/>
        <w:spacing w:after="0" w:line="281" w:lineRule="auto"/>
        <w:tabs>
          <w:tab w:leader="none" w:pos="883"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Disposal Restrictions attached to Restricted Shares acquired when Rights have been exercised shall cease when the Participant ceases to be an Employee of the Group, unless otherwise determined by the Committee and specified in the Invitation.</w:t>
      </w:r>
    </w:p>
    <w:p>
      <w:pPr>
        <w:spacing w:after="0" w:line="161" w:lineRule="exact"/>
        <w:rPr>
          <w:rFonts w:ascii="Times New Roman" w:cs="Times New Roman" w:eastAsia="Times New Roman" w:hAnsi="Times New Roman"/>
          <w:sz w:val="18"/>
          <w:szCs w:val="18"/>
          <w:color w:val="auto"/>
        </w:rPr>
      </w:pPr>
    </w:p>
    <w:p>
      <w:pPr>
        <w:ind w:left="-8" w:right="180" w:firstLine="654"/>
        <w:spacing w:after="0" w:line="281" w:lineRule="auto"/>
        <w:tabs>
          <w:tab w:leader="none" w:pos="853"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holding lock applied by the Company to Restricted Shares will be removed when the Participant ceases to be an Employee of the Group, unless otherwise determined by the Committee and specified in the Invitation.</w:t>
      </w:r>
    </w:p>
    <w:p>
      <w:pPr>
        <w:spacing w:after="0" w:line="161" w:lineRule="exact"/>
        <w:rPr>
          <w:rFonts w:ascii="Times New Roman" w:cs="Times New Roman" w:eastAsia="Times New Roman" w:hAnsi="Times New Roman"/>
          <w:sz w:val="18"/>
          <w:szCs w:val="18"/>
          <w:color w:val="auto"/>
        </w:rPr>
      </w:pPr>
    </w:p>
    <w:p>
      <w:pPr>
        <w:ind w:left="-8" w:right="40" w:firstLine="654"/>
        <w:spacing w:after="0" w:line="257" w:lineRule="auto"/>
        <w:tabs>
          <w:tab w:leader="none" w:pos="893"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first occasion following the cessation of Specified Disposal Restrictions, if any, when Common Shares may be sold without breaching the Company’s share trading policy the Committee will advise the Participant in writing of the date of that occasion. A cessation of Disposal Restrictions Notice will be used for this purpose. However, if sale of the Common Shares may not be undertaken due to applicable securities laws, including insider trading restriction provisions, then the effective date of the Cessation of Disposal Restrictions Notice will be taken to be delayed until the next point in time when sales of Common Shares may occur without breaching either the Company’s share trading policy or restrictions on insider trading.</w:t>
      </w:r>
    </w:p>
    <w:p>
      <w:pPr>
        <w:spacing w:after="0" w:line="180" w:lineRule="exact"/>
        <w:rPr>
          <w:rFonts w:ascii="Times New Roman" w:cs="Times New Roman" w:eastAsia="Times New Roman" w:hAnsi="Times New Roman"/>
          <w:sz w:val="18"/>
          <w:szCs w:val="18"/>
          <w:color w:val="auto"/>
        </w:rPr>
      </w:pPr>
    </w:p>
    <w:p>
      <w:pPr>
        <w:ind w:left="272" w:hanging="272"/>
        <w:spacing w:after="0"/>
        <w:tabs>
          <w:tab w:leader="none" w:pos="272"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Disposal Restrictions and Exercise Restrictions Release at Taxing Point</w:t>
      </w:r>
      <w:r>
        <w:rPr>
          <w:rFonts w:ascii="Times New Roman" w:cs="Times New Roman" w:eastAsia="Times New Roman" w:hAnsi="Times New Roman"/>
          <w:sz w:val="18"/>
          <w:szCs w:val="18"/>
          <w:b w:val="1"/>
          <w:bCs w:val="1"/>
          <w:color w:val="auto"/>
        </w:rPr>
        <w:t>.</w:t>
      </w:r>
    </w:p>
    <w:p>
      <w:pPr>
        <w:spacing w:after="0" w:line="227" w:lineRule="exact"/>
        <w:rPr>
          <w:rFonts w:ascii="Times New Roman" w:cs="Times New Roman" w:eastAsia="Times New Roman" w:hAnsi="Times New Roman"/>
          <w:sz w:val="18"/>
          <w:szCs w:val="18"/>
          <w:color w:val="auto"/>
        </w:rPr>
      </w:pPr>
    </w:p>
    <w:p>
      <w:pPr>
        <w:ind w:left="-8" w:right="40" w:firstLine="654"/>
        <w:spacing w:after="0" w:line="281" w:lineRule="auto"/>
        <w:tabs>
          <w:tab w:leader="none" w:pos="883"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taxing point arises in relation to vested but unexercised Rights that are subject to Exercise Restrictions, the Exercise Restrictions will cease to apply to 50% of such Rights, unless otherwise determined by the Committee.</w:t>
      </w:r>
    </w:p>
    <w:p>
      <w:pPr>
        <w:spacing w:after="0" w:line="161" w:lineRule="exact"/>
        <w:rPr>
          <w:rFonts w:ascii="Times New Roman" w:cs="Times New Roman" w:eastAsia="Times New Roman" w:hAnsi="Times New Roman"/>
          <w:sz w:val="18"/>
          <w:szCs w:val="18"/>
          <w:color w:val="auto"/>
        </w:rPr>
      </w:pPr>
    </w:p>
    <w:p>
      <w:pPr>
        <w:ind w:left="-8" w:right="540" w:firstLine="654"/>
        <w:spacing w:after="0" w:line="281" w:lineRule="auto"/>
        <w:tabs>
          <w:tab w:leader="none" w:pos="893"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taxing point arises in relation to Restricted Shares and Specified Disposal Restrictions apply to such Common Shares then Specified Disposal Restrictions (and associated holding locks if applicable) will cease to apply to 50% of such Restricted Shares.</w:t>
      </w:r>
    </w:p>
    <w:p>
      <w:pPr>
        <w:spacing w:after="0" w:line="377"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13295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12"/>
          </w:cols>
          <w:pgMar w:left="328" w:top="898" w:right="359" w:bottom="1440" w:gutter="0" w:footer="0" w:header="0"/>
        </w:sectPr>
      </w:pPr>
    </w:p>
    <w:bookmarkStart w:id="185" w:name="page186"/>
    <w:bookmarkEnd w:id="185"/>
    <w:p>
      <w:pPr>
        <w:ind w:right="80" w:firstLine="8"/>
        <w:spacing w:after="0" w:line="253" w:lineRule="auto"/>
        <w:tabs>
          <w:tab w:leader="none" w:pos="26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Conditions on Delivery of Common Shares</w:t>
      </w:r>
      <w:r>
        <w:rPr>
          <w:rFonts w:ascii="Times New Roman" w:cs="Times New Roman" w:eastAsia="Times New Roman" w:hAnsi="Times New Roman"/>
          <w:sz w:val="18"/>
          <w:szCs w:val="18"/>
          <w:color w:val="auto"/>
        </w:rPr>
        <w:t>. Notwithstanding anything herein to the contrary, the Company shall not be required to issue or deliver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evidence of book entry or certificates evidencing Common Shares issued pursuant to Rights, unless and until the Committee has determined, with advice of counsel (to the extent the Committee deems such advice necessary or advisable), that the issuance and delivery is in compliance with all applicable laws, regulations of governmental authorities and, if applicable, the requirements of the Securities Act or any exchange on which the Common Shares are listed, quoted or traded. All Common Shares issued pursuant to this Australian Subplan shall be subject to any stop-transfer orders and other restrictions as the Committee deems necessary or advisable to comply with U.S. federal, state or foreign jurisdiction, securities, or other laws and/or the rules of any market or quotation system on which the Common Shares are listed, quoted or traded. The Committee may place legends on any certificate or notations on any book entry to reference restrictions applicable to Common Shares. In addition to the terms and conditions provided herein, the Committee may require that an individual make such reasonable covenants, agreements, and representations as the Committee, in its absolute discretion, deems necessary or advisable to comply with any such laws, regulations, or requirements.</w:t>
      </w:r>
    </w:p>
    <w:p>
      <w:pPr>
        <w:spacing w:after="0" w:line="188" w:lineRule="exact"/>
        <w:rPr>
          <w:rFonts w:ascii="Times New Roman" w:cs="Times New Roman" w:eastAsia="Times New Roman" w:hAnsi="Times New Roman"/>
          <w:sz w:val="18"/>
          <w:szCs w:val="18"/>
          <w:color w:val="auto"/>
        </w:rPr>
      </w:pPr>
    </w:p>
    <w:p>
      <w:pPr>
        <w:ind w:right="280" w:firstLine="8"/>
        <w:spacing w:after="0" w:line="261" w:lineRule="auto"/>
        <w:tabs>
          <w:tab w:leader="none" w:pos="26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Retirement Benefit Limit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Notwithstanding any other provision in this Australian Subplan, the Company is not required to provide or procure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of any benefit which would result in a breach by the Company of the Corporations Act 2001 (Cth) relating to termination benefits to any Participants who are the holder of an managerial or executive office unless any prior approval required from the shareholders for the provision of such a benefit has been sought and obtained by the Company.</w:t>
      </w:r>
    </w:p>
    <w:p>
      <w:pPr>
        <w:spacing w:after="0" w:line="17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Tax Matters</w:t>
      </w:r>
      <w:r>
        <w:rPr>
          <w:rFonts w:ascii="Times New Roman" w:cs="Times New Roman" w:eastAsia="Times New Roman" w:hAnsi="Times New Roman"/>
          <w:sz w:val="18"/>
          <w:szCs w:val="18"/>
          <w:b w:val="1"/>
          <w:bCs w:val="1"/>
          <w:color w:val="auto"/>
        </w:rPr>
        <w:t>.</w:t>
      </w:r>
    </w:p>
    <w:p>
      <w:pPr>
        <w:spacing w:after="0" w:line="228" w:lineRule="exact"/>
        <w:rPr>
          <w:rFonts w:ascii="Times New Roman" w:cs="Times New Roman" w:eastAsia="Times New Roman" w:hAnsi="Times New Roman"/>
          <w:sz w:val="18"/>
          <w:szCs w:val="18"/>
          <w:color w:val="auto"/>
        </w:rPr>
      </w:pPr>
    </w:p>
    <w:p>
      <w:pPr>
        <w:ind w:right="520" w:firstLine="654"/>
        <w:spacing w:after="0" w:line="281" w:lineRule="auto"/>
        <w:tabs>
          <w:tab w:leader="none" w:pos="891"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Subdivision 83A-C of the Income Tax Assessment Act 1997 applies to this Australian Subplan including to all Rights granted under this Australian Subplan and all Common Shares that arise from the exercising of Rights.</w:t>
      </w:r>
    </w:p>
    <w:p>
      <w:pPr>
        <w:spacing w:after="0" w:line="161" w:lineRule="exact"/>
        <w:rPr>
          <w:rFonts w:ascii="Times New Roman" w:cs="Times New Roman" w:eastAsia="Times New Roman" w:hAnsi="Times New Roman"/>
          <w:sz w:val="18"/>
          <w:szCs w:val="18"/>
          <w:color w:val="auto"/>
        </w:rPr>
      </w:pPr>
    </w:p>
    <w:p>
      <w:pPr>
        <w:ind w:right="40" w:firstLine="654"/>
        <w:spacing w:after="0" w:line="256" w:lineRule="auto"/>
        <w:tabs>
          <w:tab w:leader="none" w:pos="9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 Requirement</w:t>
      </w:r>
      <w:r>
        <w:rPr>
          <w:rFonts w:ascii="Times New Roman" w:cs="Times New Roman" w:eastAsia="Times New Roman" w:hAnsi="Times New Roman"/>
          <w:sz w:val="18"/>
          <w:szCs w:val="18"/>
          <w:color w:val="auto"/>
        </w:rPr>
        <w:t>. Prior to the delivery of any Common Shares pursuant to Rights, the Company will have the power and the right to deduct or withhold, or require an Australian Participant to remit to the Company, an amount sufficient to satisfy the amount of Australian federal, state, local, foreign or other taxes required to be withheld with respect to such Rights. The Committee may require the Company’s tax withholding obligation satisfied, in whole or in part, by the Company withholding from the Common Shares to be issued pursuant to Rights a number of Common Shares with an aggregate market price (as of the date the withholding is effected) that would satisfy the withholding amount due; provided, however, that the amount withheld does not exceed the maximum statutory tax rate or such lesser amount as is necessary to avoid adverse accounting treatment.</w:t>
      </w:r>
    </w:p>
    <w:p>
      <w:pPr>
        <w:spacing w:after="0" w:line="183" w:lineRule="exact"/>
        <w:rPr>
          <w:rFonts w:ascii="Times New Roman" w:cs="Times New Roman" w:eastAsia="Times New Roman" w:hAnsi="Times New Roman"/>
          <w:sz w:val="18"/>
          <w:szCs w:val="18"/>
          <w:color w:val="auto"/>
        </w:rPr>
      </w:pPr>
    </w:p>
    <w:p>
      <w:pPr>
        <w:ind w:right="140" w:firstLine="654"/>
        <w:spacing w:after="0" w:line="260" w:lineRule="auto"/>
        <w:tabs>
          <w:tab w:leader="none" w:pos="89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to Notify or Minimize Taxes</w:t>
      </w:r>
      <w:r>
        <w:rPr>
          <w:rFonts w:ascii="Times New Roman" w:cs="Times New Roman" w:eastAsia="Times New Roman" w:hAnsi="Times New Roman"/>
          <w:sz w:val="18"/>
          <w:szCs w:val="18"/>
          <w:color w:val="auto"/>
        </w:rPr>
        <w:t>. The Company will have no duty or obligation to this Australian Participant to advise such holder as to the time or manner of exercising the Right. Furthermore, the Company will have no duty or obligation to warn or otherwise advise such holder of a pending termination or expiration of a Right or a possible period in which the Right may not be exercised. The Company has no duty or obligation to minimize the tax consequences of an Right to this Australian Participant.</w:t>
      </w:r>
    </w:p>
    <w:p>
      <w:pPr>
        <w:spacing w:after="0" w:line="176"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 Amendment and Termination of this Australian Subplan</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ind w:right="60" w:firstLine="654"/>
        <w:spacing w:after="0" w:line="257" w:lineRule="auto"/>
        <w:tabs>
          <w:tab w:leader="none" w:pos="887"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amend, suspend, or terminate this Australian Subplan at any time. Unless terminated sooner by the Committee, this Australian Subplan will terminate automatically upon the earlier of (i) 10 years after the effective date of this Australian Subplan and (ii) the termination of this Australian Subplan. No Rights may be granted under this Australian Subplan while either the Plan or this Australian Subplan is suspended or after the Plan or this Australian Subplan is terminated (but Rights previously granted under this Australian Subplan may extend to the termination pursuant to the terms of the Invitation).</w:t>
      </w:r>
    </w:p>
    <w:p>
      <w:pPr>
        <w:spacing w:after="0" w:line="184" w:lineRule="exact"/>
        <w:rPr>
          <w:rFonts w:ascii="Times New Roman" w:cs="Times New Roman" w:eastAsia="Times New Roman" w:hAnsi="Times New Roman"/>
          <w:sz w:val="18"/>
          <w:szCs w:val="18"/>
          <w:color w:val="auto"/>
        </w:rPr>
      </w:pPr>
    </w:p>
    <w:p>
      <w:pPr>
        <w:ind w:firstLine="654"/>
        <w:spacing w:after="0" w:line="265" w:lineRule="auto"/>
        <w:tabs>
          <w:tab w:leader="none" w:pos="901"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Australian Subplan is terminated, the provisions of this Australian Subplan and any administrative guidelines, and other rules adopted by the Committee and in force at the time of suspension or termination of this Australian Subplan, will continue to apply to any outstanding Rights as long as Rights granted pursuant to this Australian Subplan remains outstanding.</w:t>
      </w:r>
    </w:p>
    <w:p>
      <w:pPr>
        <w:spacing w:after="0" w:line="172"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Australian Subplan shall in all respects be governed by and be construed in accordance with the laws of the State of Delaware,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giving effect to the principals of conflicts of laws, and applicable provisions of U.S. federal law. The state and federal courts located within the State of Delaware shall have exclusive jurisdiction to settle any dispute which may arise out of or in connection with this Australian Subplan and accordingly any proceedings, suit or action arising out of this Australian Subplan shall be brought in such courts.</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898" w:right="359" w:bottom="1440" w:gutter="0" w:footer="0" w:header="0"/>
        </w:sectPr>
      </w:pPr>
    </w:p>
    <w:bookmarkStart w:id="186" w:name="page187"/>
    <w:bookmarkEnd w:id="186"/>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2545080</wp:posOffset>
            </wp:positionH>
            <wp:positionV relativeFrom="paragraph">
              <wp:posOffset>156210</wp:posOffset>
            </wp:positionV>
            <wp:extent cx="2018665" cy="52197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0">
                      <a:extLst>
                        <a:ext uri="{28A0092B-C50C-407E-A947-70E740481C1C}"/>
                      </a:extLst>
                    </a:blip>
                    <a:srcRect/>
                    <a:stretch>
                      <a:fillRect/>
                    </a:stretch>
                  </pic:blipFill>
                  <pic:spPr bwMode="auto">
                    <a:xfrm>
                      <a:off x="0" y="0"/>
                      <a:ext cx="2018665" cy="52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Trading Policy</w:t>
      </w:r>
    </w:p>
    <w:p>
      <w:pPr>
        <w:spacing w:after="0" w:line="224" w:lineRule="exact"/>
        <w:rPr>
          <w:sz w:val="20"/>
          <w:szCs w:val="20"/>
          <w:color w:val="auto"/>
        </w:rPr>
      </w:pPr>
    </w:p>
    <w:p>
      <w:pPr>
        <w:ind w:left="340" w:hanging="332"/>
        <w:spacing w:after="0"/>
        <w:tabs>
          <w:tab w:leader="none" w:pos="340" w:val="left"/>
        </w:tabs>
        <w:numPr>
          <w:ilvl w:val="0"/>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Introduction</w:t>
      </w:r>
    </w:p>
    <w:p>
      <w:pPr>
        <w:spacing w:after="0" w:line="228" w:lineRule="exact"/>
        <w:rPr>
          <w:rFonts w:ascii="Times New Roman" w:cs="Times New Roman" w:eastAsia="Times New Roman" w:hAnsi="Times New Roman"/>
          <w:sz w:val="18"/>
          <w:szCs w:val="18"/>
          <w:b w:val="1"/>
          <w:bCs w:val="1"/>
          <w:color w:val="auto"/>
        </w:rPr>
      </w:pPr>
    </w:p>
    <w:p>
      <w:pPr>
        <w:ind w:left="340" w:right="60"/>
        <w:spacing w:after="0" w:line="26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U.S. federal and state laws prohibit buying, selling or making other transfers of securities by persons who have material information that is not generally known or available to the public. These laws also prohibit persons with such material nonpublic information from disclosing this information to others who trade.</w:t>
      </w:r>
    </w:p>
    <w:p>
      <w:pPr>
        <w:spacing w:after="0" w:line="172" w:lineRule="exact"/>
        <w:rPr>
          <w:rFonts w:ascii="Times New Roman" w:cs="Times New Roman" w:eastAsia="Times New Roman" w:hAnsi="Times New Roman"/>
          <w:sz w:val="18"/>
          <w:szCs w:val="18"/>
          <w:b w:val="1"/>
          <w:bCs w:val="1"/>
          <w:color w:val="auto"/>
        </w:rPr>
      </w:pPr>
    </w:p>
    <w:p>
      <w:pPr>
        <w:ind w:left="340" w:right="480"/>
        <w:spacing w:after="0" w:line="28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Incannex Healthcare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adopted this Securities Trading Policy (this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regarding trading in securities by directors, officers, employees and consultants who have Material Nonpublic Information (as defined below).</w:t>
      </w:r>
    </w:p>
    <w:p>
      <w:pPr>
        <w:spacing w:after="0" w:line="158" w:lineRule="exact"/>
        <w:rPr>
          <w:rFonts w:ascii="Times New Roman" w:cs="Times New Roman" w:eastAsia="Times New Roman" w:hAnsi="Times New Roman"/>
          <w:sz w:val="18"/>
          <w:szCs w:val="18"/>
          <w:b w:val="1"/>
          <w:bCs w:val="1"/>
          <w:color w:val="auto"/>
        </w:rPr>
      </w:pPr>
    </w:p>
    <w:p>
      <w:pPr>
        <w:ind w:left="340" w:right="200"/>
        <w:spacing w:after="0" w:line="26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are responsible for ensuring that you do not violate federal or state securities laws or this Policy. We designed this Policy to promote compliance with the federal securities laws and to protect the Company and you from the serious liabilities and penalties that can result from violations of these laws.</w:t>
      </w:r>
    </w:p>
    <w:p>
      <w:pPr>
        <w:spacing w:after="0" w:line="176" w:lineRule="exact"/>
        <w:rPr>
          <w:rFonts w:ascii="Times New Roman" w:cs="Times New Roman" w:eastAsia="Times New Roman" w:hAnsi="Times New Roman"/>
          <w:sz w:val="18"/>
          <w:szCs w:val="18"/>
          <w:b w:val="1"/>
          <w:bCs w:val="1"/>
          <w:color w:val="auto"/>
        </w:rPr>
      </w:pPr>
    </w:p>
    <w:p>
      <w:pPr>
        <w:jc w:val="both"/>
        <w:ind w:left="340" w:right="8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violate the insider trading laws, you may have to pay civil fines for up to three times the profit gained or loss avoided by such trading, as well as criminal fines of up to $5 million. You also may have to serve a jail sentence of up to 20 years. In addition, the Company may face civil penalties up to the greater of $1 million, or three times the profit gained or loss avoided as a result of your insider trading violations, as well as criminal fines of up to $25 million.</w:t>
      </w:r>
    </w:p>
    <w:p>
      <w:pPr>
        <w:spacing w:after="0" w:line="176" w:lineRule="exact"/>
        <w:rPr>
          <w:rFonts w:ascii="Times New Roman" w:cs="Times New Roman" w:eastAsia="Times New Roman" w:hAnsi="Times New Roman"/>
          <w:sz w:val="18"/>
          <w:szCs w:val="18"/>
          <w:b w:val="1"/>
          <w:bCs w:val="1"/>
          <w:color w:val="auto"/>
        </w:rPr>
      </w:pPr>
    </w:p>
    <w:p>
      <w:pPr>
        <w:ind w:left="340" w:right="1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Both the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and The Nasdaq Stock Market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are effective at detecting and pursuing insider trading cases. The SEC has successfully prosecuted cases against employees trading through foreign accounts, trading by family members and friends, and trading involving only a small number of shares. Therefore, it is important that you understand the breadth of activities that constitute illegal insider trading. This Policy sets out the Company’s policy in the area of insider trading and should be read carefully and complied with fully.</w:t>
      </w:r>
    </w:p>
    <w:p>
      <w:pPr>
        <w:spacing w:after="0" w:line="181" w:lineRule="exact"/>
        <w:rPr>
          <w:rFonts w:ascii="Times New Roman" w:cs="Times New Roman" w:eastAsia="Times New Roman" w:hAnsi="Times New Roman"/>
          <w:sz w:val="18"/>
          <w:szCs w:val="18"/>
          <w:b w:val="1"/>
          <w:bCs w:val="1"/>
          <w:color w:val="auto"/>
        </w:rPr>
      </w:pPr>
    </w:p>
    <w:p>
      <w:pPr>
        <w:ind w:left="340" w:right="10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Policy will be reviewed, evaluated and revised by the Company from time to time in light of regulatory changes, developments in the Company’s business and other factors.</w:t>
      </w:r>
    </w:p>
    <w:p>
      <w:pPr>
        <w:spacing w:after="0" w:line="157" w:lineRule="exact"/>
        <w:rPr>
          <w:rFonts w:ascii="Times New Roman" w:cs="Times New Roman" w:eastAsia="Times New Roman" w:hAnsi="Times New Roman"/>
          <w:sz w:val="18"/>
          <w:szCs w:val="18"/>
          <w:b w:val="1"/>
          <w:bCs w:val="1"/>
          <w:color w:val="auto"/>
        </w:rPr>
      </w:pPr>
    </w:p>
    <w:p>
      <w:pPr>
        <w:ind w:left="340" w:right="9200" w:hanging="332"/>
        <w:spacing w:after="0" w:line="531" w:lineRule="auto"/>
        <w:tabs>
          <w:tab w:leader="none" w:pos="340" w:val="left"/>
        </w:tabs>
        <w:numPr>
          <w:ilvl w:val="0"/>
          <w:numId w:val="1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Policy and Procedures 2.1 Trading Policy</w:t>
      </w:r>
    </w:p>
    <w:p>
      <w:pPr>
        <w:ind w:left="340" w:right="60"/>
        <w:spacing w:after="0" w:line="26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You may not buy or sell a company’s securities when you have Material Nonpublic Information about that company. This Policy against “insider trading” applies to trading in Company securities, as well as to trading in the securities of other companies with whom the Company has a relationship, such as the Company’s investees, customers and suppliers or a firm with which the Company is negotiating a major transaction (a “Company Counterparty”).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95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7" w:name="page188"/>
    <w:bookmarkEnd w:id="187"/>
    <w:p>
      <w:pPr>
        <w:ind w:right="20"/>
        <w:spacing w:after="0" w:line="256" w:lineRule="auto"/>
        <w:rPr>
          <w:sz w:val="20"/>
          <w:szCs w:val="20"/>
          <w:color w:val="auto"/>
        </w:rPr>
      </w:pPr>
      <w:r>
        <w:rPr>
          <w:rFonts w:ascii="Times New Roman" w:cs="Times New Roman" w:eastAsia="Times New Roman" w:hAnsi="Times New Roman"/>
          <w:sz w:val="18"/>
          <w:szCs w:val="18"/>
          <w:color w:val="auto"/>
        </w:rPr>
        <w:t>You may not convey Material Nonpublic Information about the Company or another company to others. You also may not suggest that anyone purchase or sell any company’s securities while you are aware of Material Nonpublic Information about that company. These practices, known as “tipping,” also violate the U.S. securities laws and can result in the same civil and criminal penalties that apply if you engage in insider trading directly, even if you do not receive any money or derive any benefit from trades made by persons to whom you passed Material Nonpublic Information. This Policy against “tipping” applies to information about the Company and its securities, as well as to information about Company Counterparties. This Policy does not restrict legitimate business communications on a “need to know” basis.</w:t>
      </w:r>
    </w:p>
    <w:p>
      <w:pPr>
        <w:spacing w:after="0" w:line="184"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It is against Company policy for you to engage in short-term or speculative transactions in Company securities. As such, you may not engage in: (a) short-term trading (generally defined as selling Company securities within six months following a purchase); (b) short sales (selling Company securities you do not own); (c) transactions involving publicly traded options or other derivatives, such as trading in puts or calls with respect to Company securities; and (d) hedging transactions. Additionally, because securities held in a margin account or pledged as collateral may be sold without your consent, if you fail to meet a margin call or if you default on a loan, a margin or foreclosure sale may result in unlawful insider trading. Because of this danger, you should exercise caution when including Company securities in a margin account or pledging Company securities as collateral for a loan.</w:t>
      </w:r>
    </w:p>
    <w:p>
      <w:pPr>
        <w:spacing w:after="0" w:line="184"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The foregoing restrictions apply to all directors, officers, employees and consultants. These restrictions also apply to anyone that lives in your household (other than household employees). The SEC and federal prosecutors may presume that trading by family members is based on information you supplied and may treat any such transactions as if you had traded yourself. There is no exception for small transactions or transactions that may seem necessary or justifiable for independent reasons, such as the need to raise money for an emergency expenditure.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Policy, references to “trading” and “transactions” includes, among other things:</w:t>
      </w:r>
    </w:p>
    <w:p>
      <w:pPr>
        <w:spacing w:after="0" w:line="224" w:lineRule="exact"/>
        <w:rPr>
          <w:sz w:val="20"/>
          <w:szCs w:val="20"/>
          <w:color w:val="auto"/>
        </w:rPr>
      </w:pPr>
    </w:p>
    <w:p>
      <w:pPr>
        <w:ind w:left="640" w:hanging="326"/>
        <w:spacing w:after="0"/>
        <w:tabs>
          <w:tab w:leader="none" w:pos="6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and sales of Company securities in public markets;</w:t>
      </w: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 October 2023</w:t>
      </w:r>
    </w:p>
    <w:p>
      <w:pPr>
        <w:spacing w:after="0" w:line="200" w:lineRule="exact"/>
        <w:rPr>
          <w:sz w:val="20"/>
          <w:szCs w:val="20"/>
          <w:color w:val="auto"/>
        </w:rPr>
      </w:pPr>
    </w:p>
    <w:p>
      <w:pPr>
        <w:spacing w:after="0" w:line="23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95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900"/>
          </w:cols>
          <w:pgMar w:left="660" w:top="903" w:right="339" w:bottom="1440" w:gutter="0" w:footer="0" w:header="0"/>
        </w:sectPr>
      </w:pPr>
    </w:p>
    <w:bookmarkStart w:id="188" w:name="page189"/>
    <w:bookmarkEnd w:id="188"/>
    <w:p>
      <w:pPr>
        <w:ind w:left="640" w:hanging="326"/>
        <w:spacing w:after="0"/>
        <w:tabs>
          <w:tab w:leader="none" w:pos="6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Company securities obtained through the exercise of employee stock options granted by the Company;</w:t>
      </w:r>
    </w:p>
    <w:p>
      <w:pPr>
        <w:spacing w:after="0" w:line="224"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gifts of Company securities; and</w:t>
      </w:r>
    </w:p>
    <w:p>
      <w:pPr>
        <w:spacing w:after="0" w:line="223"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using Company securities to secure a loan.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officers, employees and consultants should consult the Corporate Secretary if they have any questions.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What is “Material Nonpublic Information”?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Material Information</w:t>
      </w:r>
    </w:p>
    <w:p>
      <w:pPr>
        <w:spacing w:after="0" w:line="226"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Material information generally means information that a reasonable investor would consider important in making an investment decision to buy, hold, or sell securities. Either positive or negative information may be material. Depending on the circumstances, common examples of information that may be material include:</w:t>
      </w:r>
    </w:p>
    <w:p>
      <w:pPr>
        <w:spacing w:after="0" w:line="176" w:lineRule="exact"/>
        <w:rPr>
          <w:sz w:val="20"/>
          <w:szCs w:val="20"/>
          <w:color w:val="auto"/>
        </w:rPr>
      </w:pPr>
    </w:p>
    <w:p>
      <w:pPr>
        <w:ind w:left="640" w:hanging="326"/>
        <w:spacing w:after="0"/>
        <w:tabs>
          <w:tab w:leader="none" w:pos="6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revenue, or similar financial information;</w:t>
      </w:r>
    </w:p>
    <w:p>
      <w:pPr>
        <w:spacing w:after="0" w:line="224"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or scientific information relating to our operations or research &amp; development activities;</w:t>
      </w:r>
    </w:p>
    <w:p>
      <w:pPr>
        <w:spacing w:after="0" w:line="224"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financial results;</w:t>
      </w:r>
    </w:p>
    <w:p>
      <w:pPr>
        <w:spacing w:after="0" w:line="223"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unpublished financial reports or projections;</w:t>
      </w:r>
    </w:p>
    <w:p>
      <w:pPr>
        <w:spacing w:after="0" w:line="224"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borrowing or liquidity problems;</w:t>
      </w:r>
    </w:p>
    <w:p>
      <w:pPr>
        <w:spacing w:after="0" w:line="224"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control or sale of all or part of the Company’s business;</w:t>
      </w:r>
    </w:p>
    <w:p>
      <w:pPr>
        <w:spacing w:after="0" w:line="223"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directors, senior management or auditors;</w:t>
      </w:r>
    </w:p>
    <w:p>
      <w:pPr>
        <w:spacing w:after="0" w:line="223" w:lineRule="exact"/>
        <w:rPr>
          <w:rFonts w:ascii="Times New Roman" w:cs="Times New Roman" w:eastAsia="Times New Roman" w:hAnsi="Times New Roman"/>
          <w:sz w:val="18"/>
          <w:szCs w:val="18"/>
          <w:color w:val="auto"/>
        </w:rPr>
      </w:pPr>
    </w:p>
    <w:p>
      <w:pPr>
        <w:ind w:left="640" w:right="260" w:hanging="326"/>
        <w:spacing w:after="0" w:line="281" w:lineRule="auto"/>
        <w:tabs>
          <w:tab w:leader="none" w:pos="6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current, proposed, or contemplated transactions, business plans, financial restructurings, acquisition targets or significant expansions or contractions of operations;</w:t>
      </w:r>
    </w:p>
    <w:p>
      <w:pPr>
        <w:spacing w:after="0" w:line="161" w:lineRule="exact"/>
        <w:rPr>
          <w:rFonts w:ascii="Times New Roman" w:cs="Times New Roman" w:eastAsia="Times New Roman" w:hAnsi="Times New Roman"/>
          <w:sz w:val="18"/>
          <w:szCs w:val="18"/>
          <w:color w:val="auto"/>
        </w:rPr>
      </w:pPr>
    </w:p>
    <w:p>
      <w:pPr>
        <w:ind w:left="640" w:right="640" w:hanging="326"/>
        <w:spacing w:after="0" w:line="281" w:lineRule="auto"/>
        <w:tabs>
          <w:tab w:leader="none" w:pos="6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dividend policies or the declaration of a stock split or the proposed or contemplated issuance, redemption, or repurchase of securities;</w:t>
      </w:r>
    </w:p>
    <w:p>
      <w:pPr>
        <w:spacing w:after="0" w:line="161"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negotiations regarding an important license, distribution agreement, joint venture or collaboration agreement;</w:t>
      </w:r>
    </w:p>
    <w:p>
      <w:pPr>
        <w:spacing w:after="0" w:line="223"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defaults under agreements or actions by creditors, clients, or suppliers relating to a company’s credit rating;</w:t>
      </w:r>
    </w:p>
    <w:p>
      <w:pPr>
        <w:spacing w:after="0" w:line="223"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major contracts;</w:t>
      </w: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 October 2023</w:t>
      </w:r>
    </w:p>
    <w:p>
      <w:pPr>
        <w:spacing w:after="0" w:line="200" w:lineRule="exact"/>
        <w:rPr>
          <w:sz w:val="20"/>
          <w:szCs w:val="20"/>
          <w:color w:val="auto"/>
        </w:rPr>
      </w:pPr>
    </w:p>
    <w:p>
      <w:pPr>
        <w:spacing w:after="0" w:line="23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95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900"/>
          </w:cols>
          <w:pgMar w:left="660" w:top="902" w:right="339" w:bottom="1440" w:gutter="0" w:footer="0" w:header="0"/>
        </w:sectPr>
      </w:pPr>
    </w:p>
    <w:bookmarkStart w:id="189" w:name="page190"/>
    <w:bookmarkEnd w:id="189"/>
    <w:p>
      <w:pPr>
        <w:ind w:left="640" w:hanging="326"/>
        <w:spacing w:after="0"/>
        <w:tabs>
          <w:tab w:leader="none" w:pos="6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impending financial problems;</w:t>
      </w:r>
    </w:p>
    <w:p>
      <w:pPr>
        <w:spacing w:after="0" w:line="224" w:lineRule="exact"/>
        <w:rPr>
          <w:rFonts w:ascii="Times New Roman" w:cs="Times New Roman" w:eastAsia="Times New Roman" w:hAnsi="Times New Roman"/>
          <w:sz w:val="18"/>
          <w:szCs w:val="18"/>
          <w:color w:val="auto"/>
        </w:rPr>
      </w:pPr>
    </w:p>
    <w:p>
      <w:pPr>
        <w:ind w:left="640" w:right="160" w:hanging="326"/>
        <w:spacing w:after="0" w:line="281" w:lineRule="auto"/>
        <w:tabs>
          <w:tab w:leader="none" w:pos="6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interruption of production or other aspects of a company’s business as a result of an accident, fire, natural disaster, or breakdown of labor negotiations;</w:t>
      </w:r>
    </w:p>
    <w:p>
      <w:pPr>
        <w:spacing w:after="0" w:line="161"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environmental incidents;</w:t>
      </w:r>
    </w:p>
    <w:p>
      <w:pPr>
        <w:spacing w:after="0" w:line="224"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institution of, or developments in, major litigation, investigations, or regulatory actions or proceedings; and</w:t>
      </w:r>
    </w:p>
    <w:p>
      <w:pPr>
        <w:spacing w:after="0" w:line="224" w:lineRule="exact"/>
        <w:rPr>
          <w:rFonts w:ascii="Times New Roman" w:cs="Times New Roman" w:eastAsia="Times New Roman" w:hAnsi="Times New Roman"/>
          <w:sz w:val="18"/>
          <w:szCs w:val="18"/>
          <w:color w:val="auto"/>
        </w:rPr>
      </w:pPr>
    </w:p>
    <w:p>
      <w:pPr>
        <w:ind w:left="640" w:hanging="326"/>
        <w:spacing w:after="0"/>
        <w:tabs>
          <w:tab w:leader="none" w:pos="6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Company affiliates.</w:t>
      </w:r>
    </w:p>
    <w:p>
      <w:pPr>
        <w:spacing w:after="0" w:line="224"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U.S. federal and Nasdaq investigators will scrutinize a questionable trade after the fact with the benefit of hindsight, so you should always err on the side of deciding that the information is material and not trade. If you have questions regarding specific transactions, please contact the Corporate Secretary.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Nonpublic Information</w:t>
      </w:r>
    </w:p>
    <w:p>
      <w:pPr>
        <w:spacing w:after="0" w:line="226"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Nonpublic information is information that is not generally known or available to the public. We consider information to be available to the public only when:</w:t>
      </w:r>
    </w:p>
    <w:p>
      <w:pPr>
        <w:spacing w:after="0" w:line="160" w:lineRule="exact"/>
        <w:rPr>
          <w:sz w:val="20"/>
          <w:szCs w:val="20"/>
          <w:color w:val="auto"/>
        </w:rPr>
      </w:pPr>
    </w:p>
    <w:p>
      <w:pPr>
        <w:ind w:left="640" w:right="520" w:hanging="326"/>
        <w:spacing w:after="0" w:line="283" w:lineRule="auto"/>
        <w:tabs>
          <w:tab w:leader="none" w:pos="6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been released to the public by the Company through appropriate channels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by means of a press release, a filed Form 8-K or a widely disseminated statement from a senior officer); and</w:t>
      </w:r>
    </w:p>
    <w:p>
      <w:pPr>
        <w:spacing w:after="0" w:line="160" w:lineRule="exact"/>
        <w:rPr>
          <w:rFonts w:ascii="Times New Roman" w:cs="Times New Roman" w:eastAsia="Times New Roman" w:hAnsi="Times New Roman"/>
          <w:sz w:val="18"/>
          <w:szCs w:val="18"/>
          <w:color w:val="auto"/>
        </w:rPr>
      </w:pPr>
    </w:p>
    <w:p>
      <w:pPr>
        <w:ind w:left="640" w:right="500" w:hanging="326"/>
        <w:spacing w:after="0" w:line="281" w:lineRule="auto"/>
        <w:tabs>
          <w:tab w:leader="none" w:pos="6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enough time has elapsed to permit the investment market to absorb and evaluate the information. As a general rule, you should consider information to be nonpublic until two full trading days have lapsed following public disclosure.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Unauthorized Disclosure</w:t>
      </w:r>
    </w:p>
    <w:p>
      <w:pPr>
        <w:spacing w:after="0" w:line="228"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All directors, officers, employees and consultants must maintain the confidentiality of Company information for competitive, security and other business reasons, as well as to comply with securities laws. All information you learn about the Company or its business plans is potentially nonpublic information until it is publicly disclosed. You should treat this information as confidential and proprietary to the Company. You may not disclose it to others, such as family members, other relatives, or business or social acquaintances.</w:t>
      </w:r>
    </w:p>
    <w:p>
      <w:pPr>
        <w:spacing w:after="0" w:line="181"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7"/>
          <w:szCs w:val="17"/>
          <w:color w:val="auto"/>
        </w:rPr>
        <w:t>Also, legal rules govern the timing and nature of our disclosure of material information to outsiders or the public. Violation of these rules could result in substantial liability for you, the Company and its management. For this reason, we permit only specifically designated representatives of the Company to discuss the Company with the news media, securities analysts and investors and only in accordance with the Company’s Continuous Disclosure Policy. If you receive inquiries of this nature, refer them to the CFO or the Corporate Secretary. At any time when the Company does not have an active CFO, the duties and responsibilities assigned to the CFO under this policy shall be performed by the principal financial officer.</w:t>
      </w:r>
    </w:p>
    <w:p>
      <w:pPr>
        <w:spacing w:after="0" w:line="16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 October 2023</w:t>
      </w:r>
    </w:p>
    <w:p>
      <w:pPr>
        <w:spacing w:after="0" w:line="200" w:lineRule="exact"/>
        <w:rPr>
          <w:sz w:val="20"/>
          <w:szCs w:val="20"/>
          <w:color w:val="auto"/>
        </w:rPr>
      </w:pPr>
    </w:p>
    <w:p>
      <w:pPr>
        <w:spacing w:after="0" w:line="23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955"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900"/>
          </w:cols>
          <w:pgMar w:left="660" w:top="903"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color w:val="auto"/>
        </w:rPr>
        <w:t>2.4 When and How to Trade Company Stock</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226"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Directors, officers and certain other employees and consultants who are so designated from time to time (such officers and designated employees and consultants, “</w:t>
      </w:r>
      <w:r>
        <w:rPr>
          <w:rFonts w:ascii="Times New Roman" w:cs="Times New Roman" w:eastAsia="Times New Roman" w:hAnsi="Times New Roman"/>
          <w:sz w:val="18"/>
          <w:szCs w:val="18"/>
          <w:b w:val="1"/>
          <w:bCs w:val="1"/>
          <w:color w:val="auto"/>
        </w:rPr>
        <w:t>Restricted Employees</w:t>
      </w:r>
      <w:r>
        <w:rPr>
          <w:rFonts w:ascii="Times New Roman" w:cs="Times New Roman" w:eastAsia="Times New Roman" w:hAnsi="Times New Roman"/>
          <w:sz w:val="18"/>
          <w:szCs w:val="18"/>
          <w:color w:val="auto"/>
        </w:rPr>
        <w:t>”) are for purposes of this Policy required to comply with the restrictions covered below. Even if you are not a director or a Restricted Employee, however, following the procedures listed below may assist you in complying with this Policy.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Blackout Periods</w:t>
      </w:r>
    </w:p>
    <w:p>
      <w:pPr>
        <w:spacing w:after="0" w:line="22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From time to time due to certain developments relating to Material Nonpublic Information, the Company may implement special blackout periods during which the Company may notify particular individuals that they should not engage in any transactions involving the purchase or sale of Company securities or the securities of another company. If you are subject to a special blackout period, you should not trade in the applicable company’s securities during such time and you should not disclose to others the fact that you are prohibited from trading. In exceptional circumstances, the Corporate Secretary may give written clearance to sell Company securities to individuals subject to blackout period restrictions. A request seeking such clearance must be made in writing to the Corporate Secretary and must include an undertaking that the individual is not in possession of Material Nonpublic Information and must also specify severe financial or other unique hardships that would result in the absence of such clearance. The Corporate Secretary shall have discretion to deny any such request and clearance shall not be granted if, upon consideration of an individual’s specific circumstances, the Corporate Secretary determines that there is a reasonable likelihood that the individual is in possession of Material Nonpublic Information.</w:t>
      </w:r>
    </w:p>
    <w:p>
      <w:pPr>
        <w:spacing w:after="0" w:line="188"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However, it is not the Company’s policy to impose special blackout periods every time that Material Nonpublic Information exists, or every time that a Company employee may be in the possession of Material Nonpublic Information. Thus, the absence of a special blackout should not be interpreted as permission to trade. In addition, if you are subject to the Company’s pre- clearance policy (described below), you must pre-clear transactions even if you initiate them while a special blackout period is not in place.</w:t>
      </w:r>
    </w:p>
    <w:p>
      <w:pPr>
        <w:spacing w:after="0" w:line="18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Even if a special blackout period is in place, you may exercise Company stock options if no shares are to be sold – you may not, however, effect sales of stock issued upon the exercise of stock options (including same-day sales and cashless exercises). Generally, all pending purchase and sale orders regarding Company securities that could be executed while a special blackout period is not in place must be cancelled before a special blackout period is implemented so as to avoid any purchases and sales during such period.</w:t>
      </w:r>
    </w:p>
    <w:p>
      <w:pPr>
        <w:spacing w:after="0" w:line="181" w:lineRule="exact"/>
        <w:rPr>
          <w:sz w:val="20"/>
          <w:szCs w:val="20"/>
          <w:color w:val="auto"/>
        </w:rPr>
      </w:pPr>
    </w:p>
    <w:p>
      <w:pPr>
        <w:ind w:right="560"/>
        <w:spacing w:after="0" w:line="281" w:lineRule="auto"/>
        <w:rPr>
          <w:sz w:val="20"/>
          <w:szCs w:val="20"/>
          <w:color w:val="auto"/>
        </w:rPr>
      </w:pPr>
      <w:r>
        <w:rPr>
          <w:rFonts w:ascii="Times New Roman" w:cs="Times New Roman" w:eastAsia="Times New Roman" w:hAnsi="Times New Roman"/>
          <w:sz w:val="18"/>
          <w:szCs w:val="18"/>
          <w:color w:val="auto"/>
        </w:rPr>
        <w:t>In light of these restrictions, if you expect a need to sell Company stock at a specific time in the future, you may wish to consider entering into a prearranged Rule 10b5-1(c) trading plan, as discussed below.</w:t>
      </w:r>
    </w:p>
    <w:p>
      <w:pPr>
        <w:spacing w:after="0" w:line="16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 October 2023</w:t>
      </w:r>
    </w:p>
    <w:p>
      <w:pPr>
        <w:spacing w:after="0" w:line="200" w:lineRule="exact"/>
        <w:rPr>
          <w:sz w:val="20"/>
          <w:szCs w:val="20"/>
          <w:color w:val="auto"/>
        </w:rPr>
      </w:pPr>
    </w:p>
    <w:p>
      <w:pPr>
        <w:spacing w:after="0" w:line="23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955"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900"/>
          </w:cols>
          <w:pgMar w:left="660" w:top="898" w:right="3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i w:val="1"/>
          <w:iCs w:val="1"/>
          <w:color w:val="auto"/>
        </w:rPr>
        <w:t>Pre-clearance</w:t>
      </w:r>
    </w:p>
    <w:p>
      <w:pPr>
        <w:spacing w:after="0" w:line="226"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color w:val="auto"/>
        </w:rPr>
        <w:t xml:space="preserve">The Company requires its directors and Restricted Employees to contact the Corporate Secretary in advance of effecting any purchase, sale or other trading of Company securities and to obtain prior approval of the transaction, other than transactions made under an approved Rule 10b5-1 Trading Plan pursuant to section 2.5 below. </w:t>
      </w:r>
      <w:r>
        <w:rPr>
          <w:rFonts w:ascii="Times New Roman" w:cs="Times New Roman" w:eastAsia="Times New Roman" w:hAnsi="Times New Roman"/>
          <w:sz w:val="18"/>
          <w:szCs w:val="18"/>
          <w:b w:val="1"/>
          <w:bCs w:val="1"/>
          <w:i w:val="1"/>
          <w:iCs w:val="1"/>
          <w:color w:val="auto"/>
        </w:rPr>
        <w:t>The pre-clearance policy applies to directors and Restricted Employees even if they are initiating a 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 xml:space="preserve">while a special blackout period is not in place. </w:t>
      </w:r>
      <w:r>
        <w:rPr>
          <w:rFonts w:ascii="Times New Roman" w:cs="Times New Roman" w:eastAsia="Times New Roman" w:hAnsi="Times New Roman"/>
          <w:sz w:val="18"/>
          <w:szCs w:val="18"/>
          <w:color w:val="auto"/>
        </w:rPr>
        <w:t>The pre-clearance policy also applies to anyone that lives in the household (other than household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employees) of a director or Restricted Employee.</w:t>
      </w:r>
    </w:p>
    <w:p>
      <w:pPr>
        <w:spacing w:after="0" w:line="185"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If a transaction is approved under the pre-clearance policy, the transaction must be executed by the end of the second full trading day after the approval is obtained, but regardless may not be executed if you acquire Material Nonpublic Information concerning the Company during that time. If a transaction is not completed within the period described above, the transaction must be approved again before it may be executed.</w:t>
      </w:r>
    </w:p>
    <w:p>
      <w:pPr>
        <w:spacing w:after="0" w:line="176"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If a proposed transaction is not approved under the pre-clearance policy, you may not transact in Company stock, and you should not inform anyone within or outside of the Company of the restriction. Any transaction under a Rule 10b5-1 trading plan (discussed below) will not require pre-clearance at the time of the transaction.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Rule 10b5-1 Trading Plans</w:t>
      </w:r>
    </w:p>
    <w:p>
      <w:pPr>
        <w:spacing w:after="0" w:line="22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Rule 10b5-1 provides a defense from insider trading liability if trades occur pursuant to a pre- arranged trading plan that meets specified conditions. It is possible to pre-arrange trades in Company securities by entering into a written trading plan. Trading plans can be established for a single trade or a series of trades. A plan must either specify the number of securities to be bought or sold, along with the price and the date, or provide a written formula for determining this information. Alternatively, a trading plan can delegate investment discretion to a third party, such as a broker, who then makes trading decisions without further input from the person implementing the plan. Because the SEC rules on trading plans are complex, you should consult with your broker and be sure you fully understand the limitations and conditions of the rules before you establish a trading plan.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Rule 10b5-1 trading plans must be reviewed and approved in advance by the Corporate Secretary.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 Noncompliance</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Anyone who fails to comply with this Policy will be subject to appropriate disciplinary action, up to and including termination of employment.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Questions about these guidelines should be directed to the Corporate Secretary at madhu@incannex.com.au.</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Adopted: 5 October, 2023</w:t>
      </w: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 October 2023</w:t>
      </w:r>
    </w:p>
    <w:p>
      <w:pPr>
        <w:spacing w:after="0" w:line="200" w:lineRule="exact"/>
        <w:rPr>
          <w:sz w:val="20"/>
          <w:szCs w:val="20"/>
          <w:color w:val="auto"/>
        </w:rPr>
      </w:pPr>
    </w:p>
    <w:p>
      <w:pPr>
        <w:spacing w:after="0" w:line="23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955"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900"/>
          </w:cols>
          <w:pgMar w:left="660" w:top="900" w:right="339" w:bottom="1440" w:gutter="0" w:footer="0" w:header="0"/>
        </w:sectPr>
      </w:pPr>
    </w:p>
    <w:bookmarkStart w:id="192" w:name="page193"/>
    <w:bookmarkEnd w:id="192"/>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40" w:type="dxa"/>
            <w:vAlign w:val="bottom"/>
          </w:tcPr>
          <w:p>
            <w:pPr>
              <w:spacing w:after="0"/>
              <w:rPr>
                <w:sz w:val="20"/>
                <w:szCs w:val="20"/>
                <w:color w:val="auto"/>
              </w:rPr>
            </w:pPr>
          </w:p>
        </w:tc>
        <w:tc>
          <w:tcPr>
            <w:tcW w:w="296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List of Subsidiaries</w:t>
            </w:r>
          </w:p>
        </w:tc>
        <w:tc>
          <w:tcPr>
            <w:tcW w:w="4140" w:type="dxa"/>
            <w:vAlign w:val="bottom"/>
          </w:tcPr>
          <w:p>
            <w:pPr>
              <w:spacing w:after="0"/>
              <w:rPr>
                <w:sz w:val="20"/>
                <w:szCs w:val="20"/>
                <w:color w:val="auto"/>
              </w:rPr>
            </w:pPr>
          </w:p>
        </w:tc>
      </w:tr>
      <w:tr>
        <w:trPr>
          <w:trHeight w:val="438"/>
        </w:trPr>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280" w:type="dxa"/>
            <w:vAlign w:val="bottom"/>
            <w:tcBorders>
              <w:bottom w:val="single" w:sz="8" w:color="CCEEFF"/>
            </w:tcBorders>
          </w:tcPr>
          <w:p>
            <w:pPr>
              <w:spacing w:after="0"/>
              <w:rPr>
                <w:sz w:val="24"/>
                <w:szCs w:val="24"/>
                <w:color w:val="auto"/>
              </w:rPr>
            </w:pPr>
          </w:p>
        </w:tc>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Jurisdiction</w:t>
            </w:r>
          </w:p>
        </w:tc>
      </w:tr>
      <w:tr>
        <w:trPr>
          <w:trHeight w:val="215"/>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Incannex Healthcare Pty Ltd</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4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Victoria, Australia</w:t>
            </w:r>
          </w:p>
        </w:tc>
      </w:tr>
      <w:tr>
        <w:trPr>
          <w:trHeight w:val="215"/>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Incannex Pty Ltd</w:t>
            </w:r>
          </w:p>
        </w:tc>
        <w:tc>
          <w:tcPr>
            <w:tcW w:w="29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Victoria, Australia</w:t>
            </w:r>
          </w:p>
        </w:tc>
      </w:tr>
      <w:tr>
        <w:trPr>
          <w:trHeight w:val="215"/>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Psychennex Pty Ltd</w:t>
            </w:r>
          </w:p>
        </w:tc>
        <w:tc>
          <w:tcPr>
            <w:tcW w:w="29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4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Victoria, Australia</w:t>
            </w:r>
          </w:p>
        </w:tc>
      </w:tr>
      <w:tr>
        <w:trPr>
          <w:trHeight w:val="215"/>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APIRx Pharmaceutical USA, LLC</w:t>
            </w:r>
          </w:p>
        </w:tc>
        <w:tc>
          <w:tcPr>
            <w:tcW w:w="29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Delaware</w:t>
            </w:r>
          </w:p>
        </w:tc>
      </w:tr>
      <w:tr>
        <w:trPr>
          <w:trHeight w:val="215"/>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APIRx Pharmaceuticals Holding BV</w:t>
            </w:r>
          </w:p>
        </w:tc>
        <w:tc>
          <w:tcPr>
            <w:tcW w:w="29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4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IJsselstein, Netherlands</w:t>
            </w:r>
          </w:p>
        </w:tc>
      </w:tr>
      <w:tr>
        <w:trPr>
          <w:trHeight w:val="215"/>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Clarion Clinics Group Pty Ltd</w:t>
            </w:r>
          </w:p>
        </w:tc>
        <w:tc>
          <w:tcPr>
            <w:tcW w:w="29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Victoria, Australia</w:t>
            </w:r>
          </w:p>
        </w:tc>
      </w:tr>
      <w:tr>
        <w:trPr>
          <w:trHeight w:val="215"/>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Clarion Model Clinic Pty Ltd</w:t>
            </w:r>
          </w:p>
        </w:tc>
        <w:tc>
          <w:tcPr>
            <w:tcW w:w="296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4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Victoria, Australia</w:t>
            </w:r>
          </w:p>
        </w:tc>
      </w:t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Psychennex Licensing and Franchising Pty Ltd</w:t>
            </w:r>
          </w:p>
        </w:tc>
        <w:tc>
          <w:tcPr>
            <w:tcW w:w="29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Victoria, Australia</w:t>
            </w:r>
          </w:p>
        </w:tc>
      </w:tr>
    </w:tbl>
    <w:p>
      <w:pPr>
        <w:sectPr>
          <w:pgSz w:w="11900" w:h="16838" w:orient="portrait"/>
          <w:cols w:equalWidth="0" w:num="1">
            <w:col w:w="11240"/>
          </w:cols>
          <w:pgMar w:left="320" w:top="117" w:right="339"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4"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We have issued our report dated September 30, 2024, with respect to the consolidated financial statements included in the Annual Report of Incannex Healthcare Inc on Form 10-K for the year ended June 30, 2024. We consent to the incorporation by reference of said report in the Registration Statement of Incannex Healthcare Inc on Form S-8 (File No. 333-276172)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GRANT THORNTON AUDIT PTY LTD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Perth, Western Australia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w:t>
      </w:r>
    </w:p>
    <w:p>
      <w:pPr>
        <w:sectPr>
          <w:pgSz w:w="11900" w:h="16838" w:orient="portrait"/>
          <w:cols w:equalWidth="0" w:num="1">
            <w:col w:w="11240"/>
          </w:cols>
          <w:pgMar w:left="320" w:top="108" w:right="339" w:bottom="1440" w:gutter="0" w:footer="0" w:header="0"/>
        </w:sectPr>
      </w:pPr>
    </w:p>
    <w:bookmarkStart w:id="194" w:name="page195"/>
    <w:bookmarkEnd w:id="19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Joel Latham, certify that:</w:t>
      </w:r>
    </w:p>
    <w:p>
      <w:pPr>
        <w:spacing w:after="0" w:line="224" w:lineRule="exact"/>
        <w:rPr>
          <w:sz w:val="20"/>
          <w:szCs w:val="20"/>
          <w:color w:val="auto"/>
        </w:rPr>
      </w:pPr>
    </w:p>
    <w:p>
      <w:pPr>
        <w:ind w:left="340" w:hanging="332"/>
        <w:spacing w:after="0"/>
        <w:tabs>
          <w:tab w:leader="none" w:pos="3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Incannex Healthcare Inc.;</w:t>
      </w:r>
    </w:p>
    <w:p>
      <w:pPr>
        <w:spacing w:after="0" w:line="223" w:lineRule="exact"/>
        <w:rPr>
          <w:rFonts w:ascii="Times New Roman" w:cs="Times New Roman" w:eastAsia="Times New Roman" w:hAnsi="Times New Roman"/>
          <w:sz w:val="18"/>
          <w:szCs w:val="18"/>
          <w:color w:val="auto"/>
        </w:rPr>
      </w:pPr>
    </w:p>
    <w:p>
      <w:pPr>
        <w:jc w:val="both"/>
        <w:ind w:left="340" w:right="460" w:hanging="332"/>
        <w:spacing w:after="0" w:line="265" w:lineRule="auto"/>
        <w:tabs>
          <w:tab w:leader="none" w:pos="3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340" w:right="440" w:hanging="332"/>
        <w:spacing w:after="0" w:line="281" w:lineRule="auto"/>
        <w:tabs>
          <w:tab w:leader="none" w:pos="3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40" w:hanging="332"/>
        <w:spacing w:after="0" w:line="265" w:lineRule="auto"/>
        <w:tabs>
          <w:tab w:leader="none" w:pos="3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660" w:right="400" w:hanging="329"/>
        <w:spacing w:after="0" w:line="265" w:lineRule="auto"/>
        <w:tabs>
          <w:tab w:leader="none" w:pos="6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660" w:right="100" w:hanging="329"/>
        <w:spacing w:after="0" w:line="265" w:lineRule="auto"/>
        <w:tabs>
          <w:tab w:leader="none" w:pos="6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660" w:right="880" w:hanging="329"/>
        <w:spacing w:after="0" w:line="311" w:lineRule="auto"/>
        <w:tabs>
          <w:tab w:leader="none" w:pos="660"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120" w:hanging="329"/>
        <w:spacing w:after="0" w:line="265" w:lineRule="auto"/>
        <w:tabs>
          <w:tab w:leader="none" w:pos="6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340" w:right="160" w:hanging="332"/>
        <w:spacing w:after="0" w:line="281" w:lineRule="auto"/>
        <w:tabs>
          <w:tab w:leader="none" w:pos="3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300" w:hanging="329"/>
        <w:spacing w:after="0" w:line="281" w:lineRule="auto"/>
        <w:tabs>
          <w:tab w:leader="none" w:pos="6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60" w:hanging="329"/>
        <w:spacing w:after="0" w:line="281" w:lineRule="auto"/>
        <w:tabs>
          <w:tab w:leader="none" w:pos="660"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September 30, 2024</w:t>
      </w:r>
      <w:r>
        <w:rPr>
          <w:sz w:val="20"/>
          <w:szCs w:val="20"/>
          <w:color w:val="auto"/>
        </w:rPr>
        <w:tab/>
      </w:r>
      <w:r>
        <w:rPr>
          <w:rFonts w:ascii="Times New Roman" w:cs="Times New Roman" w:eastAsia="Times New Roman" w:hAnsi="Times New Roman"/>
          <w:sz w:val="18"/>
          <w:szCs w:val="18"/>
          <w:color w:val="auto"/>
        </w:rPr>
        <w:t>By: /s/ Joel Latham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4503420</wp:posOffset>
            </wp:positionH>
            <wp:positionV relativeFrom="paragraph">
              <wp:posOffset>17145</wp:posOffset>
            </wp:positionV>
            <wp:extent cx="263398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7">
                      <a:extLst>
                        <a:ext uri="{28A0092B-C50C-407E-A947-70E740481C1C}"/>
                      </a:extLst>
                    </a:blip>
                    <a:srcRect/>
                    <a:stretch>
                      <a:fillRect/>
                    </a:stretch>
                  </pic:blipFill>
                  <pic:spPr bwMode="auto">
                    <a:xfrm>
                      <a:off x="0" y="0"/>
                      <a:ext cx="2633980" cy="17145"/>
                    </a:xfrm>
                    <a:prstGeom prst="rect">
                      <a:avLst/>
                    </a:prstGeom>
                    <a:noFill/>
                  </pic:spPr>
                </pic:pic>
              </a:graphicData>
            </a:graphic>
          </wp:anchor>
        </w:drawing>
      </w:r>
    </w:p>
    <w:p>
      <w:pPr>
        <w:spacing w:after="0" w:line="15"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Joel Latham</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ectPr>
          <w:pgSz w:w="11900" w:h="16838" w:orient="portrait"/>
          <w:cols w:equalWidth="0" w:num="1">
            <w:col w:w="11240"/>
          </w:cols>
          <w:pgMar w:left="320" w:top="117" w:right="339" w:bottom="1440" w:gutter="0" w:footer="0" w:header="0"/>
        </w:sectPr>
      </w:pPr>
    </w:p>
    <w:bookmarkStart w:id="195" w:name="page196"/>
    <w:bookmarkEnd w:id="19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Joseph Swan, certify that:</w:t>
      </w:r>
    </w:p>
    <w:p>
      <w:pPr>
        <w:spacing w:after="0" w:line="224" w:lineRule="exact"/>
        <w:rPr>
          <w:sz w:val="20"/>
          <w:szCs w:val="20"/>
          <w:color w:val="auto"/>
        </w:rPr>
      </w:pPr>
    </w:p>
    <w:p>
      <w:pPr>
        <w:ind w:left="340" w:hanging="332"/>
        <w:spacing w:after="0"/>
        <w:tabs>
          <w:tab w:leader="none" w:pos="3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Incannex Healthcare Inc.;</w:t>
      </w:r>
    </w:p>
    <w:p>
      <w:pPr>
        <w:spacing w:after="0" w:line="224" w:lineRule="exact"/>
        <w:rPr>
          <w:rFonts w:ascii="Times New Roman" w:cs="Times New Roman" w:eastAsia="Times New Roman" w:hAnsi="Times New Roman"/>
          <w:sz w:val="18"/>
          <w:szCs w:val="18"/>
          <w:color w:val="auto"/>
        </w:rPr>
      </w:pPr>
    </w:p>
    <w:p>
      <w:pPr>
        <w:jc w:val="both"/>
        <w:ind w:left="340" w:right="460" w:hanging="332"/>
        <w:spacing w:after="0" w:line="265" w:lineRule="auto"/>
        <w:tabs>
          <w:tab w:leader="none" w:pos="3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6" w:lineRule="exact"/>
        <w:rPr>
          <w:rFonts w:ascii="Times New Roman" w:cs="Times New Roman" w:eastAsia="Times New Roman" w:hAnsi="Times New Roman"/>
          <w:sz w:val="18"/>
          <w:szCs w:val="18"/>
          <w:color w:val="auto"/>
        </w:rPr>
      </w:pPr>
    </w:p>
    <w:p>
      <w:pPr>
        <w:ind w:left="340" w:right="440" w:hanging="332"/>
        <w:spacing w:after="0" w:line="281" w:lineRule="auto"/>
        <w:tabs>
          <w:tab w:leader="none" w:pos="3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40" w:hanging="332"/>
        <w:spacing w:after="0" w:line="265" w:lineRule="auto"/>
        <w:tabs>
          <w:tab w:leader="none" w:pos="3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ind w:left="660" w:right="400" w:hanging="329"/>
        <w:spacing w:after="0" w:line="265" w:lineRule="auto"/>
        <w:tabs>
          <w:tab w:leader="none" w:pos="6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660" w:right="100" w:hanging="329"/>
        <w:spacing w:after="0" w:line="265" w:lineRule="auto"/>
        <w:tabs>
          <w:tab w:leader="none" w:pos="6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jc w:val="both"/>
        <w:ind w:left="660" w:right="880" w:hanging="329"/>
        <w:spacing w:after="0" w:line="311" w:lineRule="auto"/>
        <w:tabs>
          <w:tab w:leader="none" w:pos="660" w:val="left"/>
        </w:tabs>
        <w:numPr>
          <w:ilvl w:val="1"/>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660" w:right="120" w:hanging="329"/>
        <w:spacing w:after="0" w:line="265" w:lineRule="auto"/>
        <w:tabs>
          <w:tab w:leader="none" w:pos="6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340" w:right="160" w:hanging="332"/>
        <w:spacing w:after="0" w:line="281" w:lineRule="auto"/>
        <w:tabs>
          <w:tab w:leader="none" w:pos="34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right="300" w:hanging="329"/>
        <w:spacing w:after="0" w:line="281" w:lineRule="auto"/>
        <w:tabs>
          <w:tab w:leader="none" w:pos="6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right="260" w:hanging="329"/>
        <w:spacing w:after="0" w:line="281" w:lineRule="auto"/>
        <w:tabs>
          <w:tab w:leader="none" w:pos="6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40"/>
        <w:spacing w:after="0"/>
        <w:tabs>
          <w:tab w:leader="none" w:pos="6720" w:val="left"/>
        </w:tabs>
        <w:rPr>
          <w:sz w:val="20"/>
          <w:szCs w:val="20"/>
          <w:color w:val="auto"/>
        </w:rPr>
      </w:pPr>
      <w:r>
        <w:rPr>
          <w:rFonts w:ascii="Times New Roman" w:cs="Times New Roman" w:eastAsia="Times New Roman" w:hAnsi="Times New Roman"/>
          <w:sz w:val="18"/>
          <w:szCs w:val="18"/>
          <w:color w:val="auto"/>
        </w:rPr>
        <w:t>Date: September 30, 2024</w:t>
      </w:r>
      <w:r>
        <w:rPr>
          <w:sz w:val="20"/>
          <w:szCs w:val="20"/>
          <w:color w:val="auto"/>
        </w:rPr>
        <w:tab/>
      </w:r>
      <w:r>
        <w:rPr>
          <w:rFonts w:ascii="Times New Roman" w:cs="Times New Roman" w:eastAsia="Times New Roman" w:hAnsi="Times New Roman"/>
          <w:sz w:val="18"/>
          <w:szCs w:val="18"/>
          <w:color w:val="auto"/>
        </w:rPr>
        <w:t>By: /s/ Joseph Swan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4512310</wp:posOffset>
            </wp:positionH>
            <wp:positionV relativeFrom="paragraph">
              <wp:posOffset>17145</wp:posOffset>
            </wp:positionV>
            <wp:extent cx="260858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8">
                      <a:extLst>
                        <a:ext uri="{28A0092B-C50C-407E-A947-70E740481C1C}"/>
                      </a:extLst>
                    </a:blip>
                    <a:srcRect/>
                    <a:stretch>
                      <a:fillRect/>
                    </a:stretch>
                  </pic:blipFill>
                  <pic:spPr bwMode="auto">
                    <a:xfrm>
                      <a:off x="0" y="0"/>
                      <a:ext cx="2608580" cy="17145"/>
                    </a:xfrm>
                    <a:prstGeom prst="rect">
                      <a:avLst/>
                    </a:prstGeom>
                    <a:noFill/>
                  </pic:spPr>
                </pic:pic>
              </a:graphicData>
            </a:graphic>
          </wp:anchor>
        </w:drawing>
      </w:r>
    </w:p>
    <w:p>
      <w:pPr>
        <w:spacing w:after="0" w:line="42"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Joseph Swan</w:t>
      </w:r>
    </w:p>
    <w:p>
      <w:pPr>
        <w:spacing w:after="0" w:line="35"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Financial Officer, Treasurer and Secretary</w:t>
      </w:r>
    </w:p>
    <w:p>
      <w:pPr>
        <w:sectPr>
          <w:pgSz w:w="11900" w:h="16838" w:orient="portrait"/>
          <w:cols w:equalWidth="0" w:num="1">
            <w:col w:w="11240"/>
          </w:cols>
          <w:pgMar w:left="320" w:top="117" w:right="339"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of Incannex Healthcare Inc., (the “Company”) on Form 10-K for the fiscal year ended June 30, 2024, as filed with the Securities and Exchange Commission on the date hereof (the “Report”), I certify in my capacity as the principal executive officer of the Company, pursuant to 18 U.S.C. § 1350, as adopted pursuant to § 906 of the Sarbanes-Oxley Act of 2002, that, to the best of my knowledge:</w:t>
      </w:r>
    </w:p>
    <w:p>
      <w:pPr>
        <w:spacing w:after="0" w:line="176" w:lineRule="exact"/>
        <w:rPr>
          <w:sz w:val="20"/>
          <w:szCs w:val="20"/>
          <w:color w:val="auto"/>
        </w:rPr>
      </w:pPr>
    </w:p>
    <w:p>
      <w:pPr>
        <w:ind w:left="660" w:hanging="329"/>
        <w:spacing w:after="0"/>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51" w:lineRule="exact"/>
        <w:rPr>
          <w:sz w:val="20"/>
          <w:szCs w:val="20"/>
          <w:color w:val="auto"/>
        </w:rPr>
      </w:pPr>
    </w:p>
    <w:p>
      <w:pPr>
        <w:ind w:left="40"/>
        <w:spacing w:after="0"/>
        <w:tabs>
          <w:tab w:leader="none" w:pos="6720" w:val="left"/>
        </w:tabs>
        <w:rPr>
          <w:sz w:val="20"/>
          <w:szCs w:val="20"/>
          <w:color w:val="auto"/>
        </w:rPr>
      </w:pPr>
      <w:r>
        <w:rPr>
          <w:rFonts w:ascii="Times New Roman" w:cs="Times New Roman" w:eastAsia="Times New Roman" w:hAnsi="Times New Roman"/>
          <w:sz w:val="18"/>
          <w:szCs w:val="18"/>
          <w:color w:val="auto"/>
        </w:rPr>
        <w:t>Date: September 30, 2024</w:t>
      </w:r>
      <w:r>
        <w:rPr>
          <w:sz w:val="20"/>
          <w:szCs w:val="20"/>
          <w:color w:val="auto"/>
        </w:rPr>
        <w:tab/>
      </w:r>
      <w:r>
        <w:rPr>
          <w:rFonts w:ascii="Times New Roman" w:cs="Times New Roman" w:eastAsia="Times New Roman" w:hAnsi="Times New Roman"/>
          <w:sz w:val="18"/>
          <w:szCs w:val="18"/>
          <w:color w:val="auto"/>
        </w:rPr>
        <w:t>By: /s/ Joel Latham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4512310</wp:posOffset>
            </wp:positionH>
            <wp:positionV relativeFrom="paragraph">
              <wp:posOffset>17145</wp:posOffset>
            </wp:positionV>
            <wp:extent cx="260858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9">
                      <a:extLst>
                        <a:ext uri="{28A0092B-C50C-407E-A947-70E740481C1C}"/>
                      </a:extLst>
                    </a:blip>
                    <a:srcRect/>
                    <a:stretch>
                      <a:fillRect/>
                    </a:stretch>
                  </pic:blipFill>
                  <pic:spPr bwMode="auto">
                    <a:xfrm>
                      <a:off x="0" y="0"/>
                      <a:ext cx="2608580" cy="17145"/>
                    </a:xfrm>
                    <a:prstGeom prst="rect">
                      <a:avLst/>
                    </a:prstGeom>
                    <a:noFill/>
                  </pic:spPr>
                </pic:pic>
              </a:graphicData>
            </a:graphic>
          </wp:anchor>
        </w:drawing>
      </w:r>
    </w:p>
    <w:p>
      <w:pPr>
        <w:spacing w:after="0" w:line="42"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Joel Latham</w:t>
      </w:r>
    </w:p>
    <w:p>
      <w:pPr>
        <w:spacing w:after="0" w:line="35"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6"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In connection with the Annual Report of Incannex Healthcare Inc., (the “Company”) on Form 10-K for the fiscal year ended June 30, 2024 as filed with the Securities and Exchange Commission on the date hereof (the “Report”), I certify in my capacity as the principal financial and accounting officer of the Company, pursuant to 18 U.S.C. § 1350, as adopted pursuant to § 906 of the Sarbanes-Oxley Act of 2002, that, to the best of my knowledge:</w:t>
      </w:r>
    </w:p>
    <w:p>
      <w:pPr>
        <w:spacing w:after="0" w:line="176" w:lineRule="exact"/>
        <w:rPr>
          <w:sz w:val="20"/>
          <w:szCs w:val="20"/>
          <w:color w:val="auto"/>
        </w:rPr>
      </w:pPr>
    </w:p>
    <w:p>
      <w:pPr>
        <w:ind w:left="660" w:hanging="329"/>
        <w:spacing w:after="0"/>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3"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51" w:lineRule="exact"/>
        <w:rPr>
          <w:sz w:val="20"/>
          <w:szCs w:val="20"/>
          <w:color w:val="auto"/>
        </w:rPr>
      </w:pPr>
    </w:p>
    <w:p>
      <w:pPr>
        <w:ind w:left="40"/>
        <w:spacing w:after="0"/>
        <w:tabs>
          <w:tab w:leader="none" w:pos="6720" w:val="left"/>
        </w:tabs>
        <w:rPr>
          <w:sz w:val="20"/>
          <w:szCs w:val="20"/>
          <w:color w:val="auto"/>
        </w:rPr>
      </w:pPr>
      <w:r>
        <w:rPr>
          <w:rFonts w:ascii="Times New Roman" w:cs="Times New Roman" w:eastAsia="Times New Roman" w:hAnsi="Times New Roman"/>
          <w:sz w:val="18"/>
          <w:szCs w:val="18"/>
          <w:color w:val="auto"/>
        </w:rPr>
        <w:t>Date: September 30, 2024</w:t>
      </w:r>
      <w:r>
        <w:rPr>
          <w:sz w:val="20"/>
          <w:szCs w:val="20"/>
          <w:color w:val="auto"/>
        </w:rPr>
        <w:tab/>
      </w:r>
      <w:r>
        <w:rPr>
          <w:rFonts w:ascii="Times New Roman" w:cs="Times New Roman" w:eastAsia="Times New Roman" w:hAnsi="Times New Roman"/>
          <w:sz w:val="18"/>
          <w:szCs w:val="18"/>
          <w:color w:val="auto"/>
        </w:rPr>
        <w:t>By: /s/ Joseph Swan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4512310</wp:posOffset>
            </wp:positionH>
            <wp:positionV relativeFrom="paragraph">
              <wp:posOffset>17145</wp:posOffset>
            </wp:positionV>
            <wp:extent cx="260858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0">
                      <a:extLst>
                        <a:ext uri="{28A0092B-C50C-407E-A947-70E740481C1C}"/>
                      </a:extLst>
                    </a:blip>
                    <a:srcRect/>
                    <a:stretch>
                      <a:fillRect/>
                    </a:stretch>
                  </pic:blipFill>
                  <pic:spPr bwMode="auto">
                    <a:xfrm>
                      <a:off x="0" y="0"/>
                      <a:ext cx="2608580" cy="17145"/>
                    </a:xfrm>
                    <a:prstGeom prst="rect">
                      <a:avLst/>
                    </a:prstGeom>
                    <a:noFill/>
                  </pic:spPr>
                </pic:pic>
              </a:graphicData>
            </a:graphic>
          </wp:anchor>
        </w:drawing>
      </w:r>
    </w:p>
    <w:p>
      <w:pPr>
        <w:spacing w:after="0" w:line="42"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Joseph Swan</w:t>
      </w:r>
    </w:p>
    <w:p>
      <w:pPr>
        <w:spacing w:after="0" w:line="35"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17" w:right="33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2562225</wp:posOffset>
            </wp:positionH>
            <wp:positionV relativeFrom="paragraph">
              <wp:posOffset>156210</wp:posOffset>
            </wp:positionV>
            <wp:extent cx="2026920" cy="52197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1">
                      <a:extLst>
                        <a:ext uri="{28A0092B-C50C-407E-A947-70E740481C1C}"/>
                      </a:extLst>
                    </a:blip>
                    <a:srcRect/>
                    <a:stretch>
                      <a:fillRect/>
                    </a:stretch>
                  </pic:blipFill>
                  <pic:spPr bwMode="auto">
                    <a:xfrm>
                      <a:off x="0" y="0"/>
                      <a:ext cx="2026920" cy="521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Incannex Healthcare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Policy on Recovery of Erroneously Awarded Incentive Compensation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Incannex Healthcare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will be listed on Nasdaq and, as such, will be subject to the requirements of the US Securities Exchange Act of 1934 and rules promulgated by the US Securities and Exchange Commission. In 2023, the SEC issued new Rule 10D-1, which requires US stock exchanges to adopt rules requiring listed companies to implement a policy to recover erroneously awarded incentive compensation resulting from a restatement of financial statements due to material noncompliance. Nasdaq has adopted Rule 5608 to implement this change in US securities law.</w:t>
      </w:r>
    </w:p>
    <w:p>
      <w:pPr>
        <w:spacing w:after="0" w:line="177" w:lineRule="exact"/>
        <w:rPr>
          <w:sz w:val="20"/>
          <w:szCs w:val="20"/>
          <w:color w:val="auto"/>
        </w:rPr>
      </w:pPr>
    </w:p>
    <w:p>
      <w:pPr>
        <w:ind w:right="180"/>
        <w:spacing w:after="0" w:line="285" w:lineRule="auto"/>
        <w:rPr>
          <w:sz w:val="20"/>
          <w:szCs w:val="20"/>
          <w:color w:val="auto"/>
        </w:rPr>
      </w:pPr>
      <w:r>
        <w:rPr>
          <w:rFonts w:ascii="Times New Roman" w:cs="Times New Roman" w:eastAsia="Times New Roman" w:hAnsi="Times New Roman"/>
          <w:sz w:val="18"/>
          <w:szCs w:val="18"/>
          <w:color w:val="auto"/>
        </w:rPr>
        <w:t>In addition,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the Company believes that it is in the best interests of the Company and its shareholders to create and maintain a culture that emphasizes integrity and accountability and that reinforces the Company’s pay-for-performance compensation philosophy.</w:t>
      </w:r>
    </w:p>
    <w:p>
      <w:pPr>
        <w:spacing w:after="0" w:line="159"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color w:val="auto"/>
        </w:rPr>
        <w:t>Therefore, the Board has adopted this Policy for the recoupment of certain executive compensation in the event of an accounting restatement resulting from material noncompliance with financial reporting requirements.</w:t>
      </w:r>
    </w:p>
    <w:p>
      <w:pPr>
        <w:spacing w:after="0" w:line="158" w:lineRule="exact"/>
        <w:rPr>
          <w:sz w:val="20"/>
          <w:szCs w:val="20"/>
          <w:color w:val="auto"/>
        </w:rPr>
      </w:pPr>
    </w:p>
    <w:p>
      <w:pPr>
        <w:ind w:left="340" w:hanging="332"/>
        <w:spacing w:after="0"/>
        <w:tabs>
          <w:tab w:leader="none" w:pos="34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w:t>
      </w:r>
    </w:p>
    <w:p>
      <w:pPr>
        <w:spacing w:after="0" w:line="227" w:lineRule="exact"/>
        <w:rPr>
          <w:rFonts w:ascii="Times New Roman" w:cs="Times New Roman" w:eastAsia="Times New Roman" w:hAnsi="Times New Roman"/>
          <w:sz w:val="18"/>
          <w:szCs w:val="18"/>
          <w:b w:val="1"/>
          <w:bCs w:val="1"/>
          <w:color w:val="auto"/>
        </w:rPr>
      </w:pPr>
    </w:p>
    <w:p>
      <w:pPr>
        <w:ind w:left="340" w:right="48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Policy shall be administered by the Compensation Committee. Any determinations made by the Compensation Committee shall be final and binding on all affected individuals.</w:t>
      </w:r>
    </w:p>
    <w:p>
      <w:pPr>
        <w:spacing w:after="0" w:line="157"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Executive Officers</w:t>
      </w:r>
    </w:p>
    <w:p>
      <w:pPr>
        <w:spacing w:after="0" w:line="227" w:lineRule="exact"/>
        <w:rPr>
          <w:rFonts w:ascii="Times New Roman" w:cs="Times New Roman" w:eastAsia="Times New Roman" w:hAnsi="Times New Roman"/>
          <w:sz w:val="18"/>
          <w:szCs w:val="18"/>
          <w:b w:val="1"/>
          <w:bCs w:val="1"/>
          <w:color w:val="auto"/>
        </w:rPr>
      </w:pPr>
    </w:p>
    <w:p>
      <w:pPr>
        <w:ind w:left="340" w:right="16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Policy applies to the Company’s current and former Executive Officers, as determined by the Compensation Committee in accordance with SEC Rule 10D-1 and Nasdaq Rule 5608.</w:t>
      </w:r>
    </w:p>
    <w:p>
      <w:pPr>
        <w:spacing w:after="0" w:line="157" w:lineRule="exact"/>
        <w:rPr>
          <w:rFonts w:ascii="Times New Roman" w:cs="Times New Roman" w:eastAsia="Times New Roman" w:hAnsi="Times New Roman"/>
          <w:sz w:val="18"/>
          <w:szCs w:val="18"/>
          <w:b w:val="1"/>
          <w:bCs w:val="1"/>
          <w:color w:val="auto"/>
        </w:rPr>
      </w:pPr>
    </w:p>
    <w:p>
      <w:pPr>
        <w:ind w:left="340" w:right="8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term </w:t>
      </w:r>
      <w:r>
        <w:rPr>
          <w:rFonts w:ascii="Times New Roman" w:cs="Times New Roman" w:eastAsia="Times New Roman" w:hAnsi="Times New Roman"/>
          <w:sz w:val="18"/>
          <w:szCs w:val="18"/>
          <w:b w:val="1"/>
          <w:bCs w:val="1"/>
          <w:i w:val="1"/>
          <w:iCs w:val="1"/>
          <w:color w:val="auto"/>
        </w:rPr>
        <w:t>Executive Officer</w:t>
      </w:r>
      <w:r>
        <w:rPr>
          <w:rFonts w:ascii="Times New Roman" w:cs="Times New Roman" w:eastAsia="Times New Roman" w:hAnsi="Times New Roman"/>
          <w:sz w:val="18"/>
          <w:szCs w:val="18"/>
          <w:color w:val="auto"/>
        </w:rPr>
        <w:t xml:space="preserve"> is defined as a company’s principal executive officer,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similar policy-making functions for the company. Executive officers of a company’s subsidiaries are deemed executive officers of the company if they perform such policy making functions for the company.</w:t>
      </w:r>
    </w:p>
    <w:p>
      <w:pPr>
        <w:spacing w:after="0" w:line="180"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Recoupment; Accounting Restatement</w:t>
      </w:r>
    </w:p>
    <w:p>
      <w:pPr>
        <w:spacing w:after="0" w:line="227" w:lineRule="exact"/>
        <w:rPr>
          <w:rFonts w:ascii="Times New Roman" w:cs="Times New Roman" w:eastAsia="Times New Roman" w:hAnsi="Times New Roman"/>
          <w:sz w:val="18"/>
          <w:szCs w:val="18"/>
          <w:b w:val="1"/>
          <w:bCs w:val="1"/>
          <w:color w:val="auto"/>
        </w:rPr>
      </w:pPr>
    </w:p>
    <w:p>
      <w:pPr>
        <w:ind w:left="340"/>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the Company is required to prepare an accounting restatement of its financial statements due to the Company’s material noncompliance with any financial reporting requirement, the Compensation Committee will require reimbursement or forfeiture of any excess Incentive Compensation (defined below) received by any Executive Officer during the three completed fiscal years immediately preceding the date on which the Company is required to prepare an accounting restatement and any transition period (that results from a change in the Company’s fiscal year) within on immediately following those three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955"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99" w:name="page200"/>
    <w:bookmarkEnd w:id="199"/>
    <w:p>
      <w:pPr>
        <w:ind w:left="340" w:hanging="332"/>
        <w:spacing w:after="0"/>
        <w:tabs>
          <w:tab w:leader="none" w:pos="34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Incentive Compensation</w:t>
      </w:r>
    </w:p>
    <w:p>
      <w:pPr>
        <w:spacing w:after="0" w:line="223"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term </w:t>
      </w:r>
      <w:r>
        <w:rPr>
          <w:rFonts w:ascii="Times New Roman" w:cs="Times New Roman" w:eastAsia="Times New Roman" w:hAnsi="Times New Roman"/>
          <w:sz w:val="18"/>
          <w:szCs w:val="18"/>
          <w:b w:val="1"/>
          <w:bCs w:val="1"/>
          <w:i w:val="1"/>
          <w:iCs w:val="1"/>
          <w:color w:val="auto"/>
        </w:rPr>
        <w:t>Incentive Compensation</w:t>
      </w:r>
      <w:r>
        <w:rPr>
          <w:rFonts w:ascii="Times New Roman" w:cs="Times New Roman" w:eastAsia="Times New Roman" w:hAnsi="Times New Roman"/>
          <w:sz w:val="18"/>
          <w:szCs w:val="18"/>
          <w:color w:val="auto"/>
        </w:rPr>
        <w:t xml:space="preserve"> includes any of the following:</w:t>
      </w:r>
    </w:p>
    <w:p>
      <w:pPr>
        <w:spacing w:after="0" w:line="228" w:lineRule="exact"/>
        <w:rPr>
          <w:rFonts w:ascii="Times New Roman" w:cs="Times New Roman" w:eastAsia="Times New Roman" w:hAnsi="Times New Roman"/>
          <w:sz w:val="18"/>
          <w:szCs w:val="18"/>
          <w:b w:val="1"/>
          <w:bCs w:val="1"/>
          <w:color w:val="auto"/>
        </w:rPr>
      </w:pPr>
    </w:p>
    <w:p>
      <w:pPr>
        <w:ind w:left="660" w:hanging="329"/>
        <w:spacing w:after="0"/>
        <w:tabs>
          <w:tab w:leader="none" w:pos="6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bonuses and other short- and long-term cash incentives</w:t>
      </w:r>
    </w:p>
    <w:p>
      <w:pPr>
        <w:spacing w:after="0" w:line="224"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w:t>
      </w:r>
    </w:p>
    <w:p>
      <w:pPr>
        <w:spacing w:after="0" w:line="223"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w:t>
      </w:r>
    </w:p>
    <w:p>
      <w:pPr>
        <w:spacing w:after="0" w:line="224"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w:t>
      </w:r>
    </w:p>
    <w:p>
      <w:pPr>
        <w:spacing w:after="0" w:line="224"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units</w:t>
      </w:r>
    </w:p>
    <w:p>
      <w:pPr>
        <w:spacing w:after="0" w:line="223"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rights</w:t>
      </w:r>
    </w:p>
    <w:p>
      <w:pPr>
        <w:spacing w:after="0" w:line="224"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awards</w:t>
      </w:r>
    </w:p>
    <w:p>
      <w:pPr>
        <w:spacing w:after="0" w:line="224"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bonuses</w:t>
      </w:r>
    </w:p>
    <w:p>
      <w:pPr>
        <w:spacing w:after="0" w:line="222" w:lineRule="exact"/>
        <w:rPr>
          <w:sz w:val="20"/>
          <w:szCs w:val="20"/>
          <w:color w:val="auto"/>
        </w:rPr>
      </w:pPr>
    </w:p>
    <w:p>
      <w:pPr>
        <w:ind w:left="340" w:right="280"/>
        <w:spacing w:after="0" w:line="283"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incentive compensation is granted, earned or vested based (wholly or in part) on the attainment of a financial reporting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Financial reporting measures include:</w:t>
      </w:r>
    </w:p>
    <w:p>
      <w:pPr>
        <w:spacing w:after="0" w:line="224" w:lineRule="exact"/>
        <w:rPr>
          <w:sz w:val="20"/>
          <w:szCs w:val="20"/>
          <w:color w:val="auto"/>
        </w:rPr>
      </w:pPr>
    </w:p>
    <w:p>
      <w:pPr>
        <w:ind w:left="660" w:hanging="329"/>
        <w:spacing w:after="0"/>
        <w:tabs>
          <w:tab w:leader="none" w:pos="6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share price</w:t>
      </w:r>
    </w:p>
    <w:p>
      <w:pPr>
        <w:spacing w:after="0" w:line="223"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w:t>
      </w:r>
    </w:p>
    <w:p>
      <w:pPr>
        <w:spacing w:after="0" w:line="223"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w:t>
      </w:r>
    </w:p>
    <w:p>
      <w:pPr>
        <w:spacing w:after="0" w:line="223"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w:t>
      </w:r>
    </w:p>
    <w:p>
      <w:pPr>
        <w:spacing w:after="0" w:line="223"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before interest, taxes, depreciation, and amortization (EBITDA)</w:t>
      </w:r>
    </w:p>
    <w:p>
      <w:pPr>
        <w:spacing w:after="0" w:line="223"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operations</w:t>
      </w:r>
    </w:p>
    <w:p>
      <w:pPr>
        <w:spacing w:after="0" w:line="223"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measures such as working capital or operating cash flow</w:t>
      </w:r>
    </w:p>
    <w:p>
      <w:pPr>
        <w:spacing w:after="0" w:line="223"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measures such as return on invested capital or return on assets</w:t>
      </w:r>
    </w:p>
    <w:p>
      <w:pPr>
        <w:spacing w:after="0" w:line="223"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measures such as earnings per share</w:t>
      </w:r>
    </w:p>
    <w:p>
      <w:pPr>
        <w:spacing w:after="0" w:line="21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Excess Incentive Compensation: Amount Subject to Recovery</w:t>
      </w:r>
    </w:p>
    <w:p>
      <w:pPr>
        <w:spacing w:after="0" w:line="227" w:lineRule="exact"/>
        <w:rPr>
          <w:rFonts w:ascii="Times New Roman" w:cs="Times New Roman" w:eastAsia="Times New Roman" w:hAnsi="Times New Roman"/>
          <w:sz w:val="18"/>
          <w:szCs w:val="18"/>
          <w:b w:val="1"/>
          <w:bCs w:val="1"/>
          <w:color w:val="auto"/>
        </w:rPr>
      </w:pPr>
    </w:p>
    <w:p>
      <w:pPr>
        <w:ind w:left="340" w:right="540"/>
        <w:spacing w:after="0" w:line="26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amount to be recovered will be the excess of the Incentive Compensation paid to the Executive Officer based on the erroneous data over the Incentive Compensation that would have been paid to the Executive Officer had it been based on the restated results, as determined by the Compensation Committee.</w:t>
      </w:r>
    </w:p>
    <w:p>
      <w:pPr>
        <w:spacing w:after="0" w:line="176" w:lineRule="exact"/>
        <w:rPr>
          <w:rFonts w:ascii="Times New Roman" w:cs="Times New Roman" w:eastAsia="Times New Roman" w:hAnsi="Times New Roman"/>
          <w:sz w:val="18"/>
          <w:szCs w:val="18"/>
          <w:b w:val="1"/>
          <w:bCs w:val="1"/>
          <w:color w:val="auto"/>
        </w:rPr>
      </w:pPr>
    </w:p>
    <w:p>
      <w:pPr>
        <w:ind w:left="340" w:right="260"/>
        <w:spacing w:after="0" w:line="26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Compensation Committee cannot determine the amount of excess Incentive Compensation received by the Executive Officer directly from the information in the accounting restatement, then it will make its determination based on a reasonable estimate of the effect of the accounting restatement.</w:t>
      </w:r>
    </w:p>
    <w:p>
      <w:pPr>
        <w:spacing w:after="0" w:line="1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 October 2023</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200" w:name="page201"/>
    <w:bookmarkEnd w:id="200"/>
    <w:p>
      <w:pPr>
        <w:ind w:left="340" w:hanging="332"/>
        <w:spacing w:after="0"/>
        <w:tabs>
          <w:tab w:leader="none" w:pos="34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Method of Recoupment</w:t>
      </w:r>
    </w:p>
    <w:p>
      <w:pPr>
        <w:spacing w:after="0" w:line="228"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Compensation Committee will determine, in its sole discretion, the method for recouping Incentive Compensation. Such method may include:</w:t>
      </w:r>
    </w:p>
    <w:p>
      <w:pPr>
        <w:spacing w:after="0" w:line="224" w:lineRule="exact"/>
        <w:rPr>
          <w:rFonts w:ascii="Times New Roman" w:cs="Times New Roman" w:eastAsia="Times New Roman" w:hAnsi="Times New Roman"/>
          <w:sz w:val="18"/>
          <w:szCs w:val="18"/>
          <w:b w:val="1"/>
          <w:bCs w:val="1"/>
          <w:color w:val="auto"/>
        </w:rPr>
      </w:pPr>
    </w:p>
    <w:p>
      <w:pPr>
        <w:ind w:left="660" w:hanging="329"/>
        <w:spacing w:after="0"/>
        <w:tabs>
          <w:tab w:leader="none" w:pos="66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reimbursement of cash Incentive Compensation previously paid;</w:t>
      </w:r>
    </w:p>
    <w:p>
      <w:pPr>
        <w:spacing w:after="0" w:line="223"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recovery of any gain realized on the vesting, exercise, settlement, sale, transfer, or other disposition of any equity-based awards;</w:t>
      </w:r>
    </w:p>
    <w:p>
      <w:pPr>
        <w:spacing w:after="0" w:line="224"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offsetting the recouped amount from any compensation otherwise owed by the Company to the Executive Officer;</w:t>
      </w:r>
    </w:p>
    <w:p>
      <w:pPr>
        <w:spacing w:after="0" w:line="224"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cancelling outstanding vested or unvested equity awards; and</w:t>
      </w:r>
    </w:p>
    <w:p>
      <w:pPr>
        <w:spacing w:after="0" w:line="223" w:lineRule="exact"/>
        <w:rPr>
          <w:rFonts w:ascii="Times New Roman" w:cs="Times New Roman" w:eastAsia="Times New Roman" w:hAnsi="Times New Roman"/>
          <w:sz w:val="18"/>
          <w:szCs w:val="18"/>
          <w:color w:val="auto"/>
        </w:rPr>
      </w:pPr>
    </w:p>
    <w:p>
      <w:pPr>
        <w:ind w:left="660" w:hanging="329"/>
        <w:spacing w:after="0"/>
        <w:tabs>
          <w:tab w:leader="none" w:pos="66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any other remedial and recovery action permitted by law, as determined by the Compensation Committee.</w:t>
      </w:r>
    </w:p>
    <w:p>
      <w:pPr>
        <w:spacing w:after="0" w:line="22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Indemnification</w:t>
      </w:r>
    </w:p>
    <w:p>
      <w:pPr>
        <w:spacing w:after="0" w:line="228"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not indemnify any Executive Officers against the loss of any incorrectly awarded Incentive Compensation.</w:t>
      </w:r>
    </w:p>
    <w:p>
      <w:pPr>
        <w:spacing w:after="0" w:line="219"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Interpretation</w:t>
      </w:r>
    </w:p>
    <w:p>
      <w:pPr>
        <w:spacing w:after="0" w:line="228" w:lineRule="exact"/>
        <w:rPr>
          <w:rFonts w:ascii="Times New Roman" w:cs="Times New Roman" w:eastAsia="Times New Roman" w:hAnsi="Times New Roman"/>
          <w:sz w:val="18"/>
          <w:szCs w:val="18"/>
          <w:b w:val="1"/>
          <w:bCs w:val="1"/>
          <w:color w:val="auto"/>
        </w:rPr>
      </w:pPr>
    </w:p>
    <w:p>
      <w:pPr>
        <w:ind w:left="340" w:right="60"/>
        <w:spacing w:after="0" w:line="26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Compensation Committee is authorized to interpret and construe this Policy and to make all determinations necessary, appropriate or advisable for the administration of this Policy. It is intended that this Policy be interpreted in a manner that is consistent with the requirements of SEC Rule 10D-1 and Nasdaq Rule 5608.</w:t>
      </w:r>
    </w:p>
    <w:p>
      <w:pPr>
        <w:spacing w:after="0" w:line="172"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 Date</w:t>
      </w:r>
    </w:p>
    <w:p>
      <w:pPr>
        <w:spacing w:after="0" w:line="228" w:lineRule="exact"/>
        <w:rPr>
          <w:rFonts w:ascii="Times New Roman" w:cs="Times New Roman" w:eastAsia="Times New Roman" w:hAnsi="Times New Roman"/>
          <w:sz w:val="18"/>
          <w:szCs w:val="18"/>
          <w:b w:val="1"/>
          <w:bCs w:val="1"/>
          <w:color w:val="auto"/>
        </w:rPr>
      </w:pPr>
    </w:p>
    <w:p>
      <w:pPr>
        <w:ind w:left="340" w:right="14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This Policy shall be effective as of the date it is adopted by the Board and shall apply to Incentive Compensation that is approved, awarded or granted to Executive Officers on or after that date.</w:t>
      </w:r>
    </w:p>
    <w:p>
      <w:pPr>
        <w:spacing w:after="0" w:line="157"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Termination</w:t>
      </w:r>
    </w:p>
    <w:p>
      <w:pPr>
        <w:spacing w:after="0" w:line="227" w:lineRule="exact"/>
        <w:rPr>
          <w:rFonts w:ascii="Times New Roman" w:cs="Times New Roman" w:eastAsia="Times New Roman" w:hAnsi="Times New Roman"/>
          <w:sz w:val="18"/>
          <w:szCs w:val="18"/>
          <w:b w:val="1"/>
          <w:bCs w:val="1"/>
          <w:color w:val="auto"/>
        </w:rPr>
      </w:pPr>
    </w:p>
    <w:p>
      <w:pPr>
        <w:ind w:left="340" w:right="32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amend this Policy from time to time in its discretion and shall amend this Policy as it deems necessary to reflect applicable law and rules of The Nasdaq Stock Market. Subject to compliance with applicable law, the Board may terminate this Policy at any time.</w:t>
      </w:r>
    </w:p>
    <w:p>
      <w:pPr>
        <w:spacing w:after="0" w:line="157"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Recoupment Rights</w:t>
      </w:r>
    </w:p>
    <w:p>
      <w:pPr>
        <w:spacing w:after="0" w:line="227" w:lineRule="exact"/>
        <w:rPr>
          <w:rFonts w:ascii="Times New Roman" w:cs="Times New Roman" w:eastAsia="Times New Roman" w:hAnsi="Times New Roman"/>
          <w:sz w:val="18"/>
          <w:szCs w:val="18"/>
          <w:b w:val="1"/>
          <w:bCs w:val="1"/>
          <w:color w:val="auto"/>
        </w:rPr>
      </w:pPr>
    </w:p>
    <w:p>
      <w:pPr>
        <w:ind w:left="340" w:right="60"/>
        <w:spacing w:after="0" w:line="26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intends that this Policy will be applied to the fullest extent of the law. Any right of recoupment under this Policy is in addition to, and not in lieu of, any other remedies or rights of recoupment that may be available to the Company pursuant to the terms of any employment agreement, equity award agreement or similar agreement and any other legal remedies available to the Company.</w:t>
      </w:r>
    </w:p>
    <w:p>
      <w:pPr>
        <w:spacing w:after="0" w:line="172" w:lineRule="exact"/>
        <w:rPr>
          <w:rFonts w:ascii="Times New Roman" w:cs="Times New Roman" w:eastAsia="Times New Roman" w:hAnsi="Times New Roman"/>
          <w:sz w:val="18"/>
          <w:szCs w:val="18"/>
          <w:b w:val="1"/>
          <w:bCs w:val="1"/>
          <w:color w:val="auto"/>
        </w:rPr>
      </w:pPr>
    </w:p>
    <w:p>
      <w:pPr>
        <w:ind w:left="340" w:hanging="332"/>
        <w:spacing w:after="0"/>
        <w:tabs>
          <w:tab w:leader="none" w:pos="34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Impracticability</w:t>
      </w:r>
    </w:p>
    <w:p>
      <w:pPr>
        <w:spacing w:after="0" w:line="227" w:lineRule="exact"/>
        <w:rPr>
          <w:rFonts w:ascii="Times New Roman" w:cs="Times New Roman" w:eastAsia="Times New Roman" w:hAnsi="Times New Roman"/>
          <w:sz w:val="18"/>
          <w:szCs w:val="18"/>
          <w:b w:val="1"/>
          <w:bCs w:val="1"/>
          <w:color w:val="auto"/>
        </w:rPr>
      </w:pPr>
    </w:p>
    <w:p>
      <w:pPr>
        <w:ind w:left="340" w:right="660"/>
        <w:spacing w:after="0" w:line="28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Compensation Committee shall recover any excess Incentive Compensation in accordance with this Policy unless such recovery would be impracticable, as determined by the Compensation Committee in accordance with SEC Rule 10D-1 and Nasdaq Rule 5608.</w:t>
      </w:r>
    </w:p>
    <w:p>
      <w:pPr>
        <w:spacing w:after="0" w:line="15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Adopted 5 October, 2023</w:t>
      </w: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 October 2023</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955"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sectPr>
      <w:pgSz w:w="11900" w:h="16838" w:orient="portrait"/>
      <w:cols w:equalWidth="0" w:num="1">
        <w:col w:w="11240"/>
      </w:cols>
      <w:pgMar w:left="320" w:top="89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AE35EB"/>
    <w:multiLevelType w:val="hybridMultilevel"/>
    <w:lvl w:ilvl="0">
      <w:lvlJc w:val="left"/>
      <w:lvlText w:val="☐"/>
      <w:numFmt w:val="bullet"/>
      <w:start w:val="1"/>
    </w:lvl>
    <w:lvl w:ilvl="1">
      <w:lvlJc w:val="left"/>
      <w:lvlText w:val="☒"/>
      <w:numFmt w:val="bullet"/>
      <w:start w:val="1"/>
    </w:lvl>
  </w:abstractNum>
  <w:abstractNum w:abstractNumId="1">
    <w:nsid w:val="579BE4F1"/>
    <w:multiLevelType w:val="hybridMultilevel"/>
    <w:lvl w:ilvl="0">
      <w:lvlJc w:val="left"/>
      <w:lvlText w:val="●"/>
      <w:numFmt w:val="bullet"/>
      <w:start w:val="1"/>
    </w:lvl>
  </w:abstractNum>
  <w:abstractNum w:abstractNumId="2">
    <w:nsid w:val="310C50B3"/>
    <w:multiLevelType w:val="hybridMultilevel"/>
    <w:lvl w:ilvl="0">
      <w:lvlJc w:val="left"/>
      <w:lvlText w:val="●"/>
      <w:numFmt w:val="bullet"/>
      <w:start w:val="1"/>
    </w:lvl>
  </w:abstractNum>
  <w:abstractNum w:abstractNumId="3">
    <w:nsid w:val="5FF87E05"/>
    <w:multiLevelType w:val="hybridMultilevel"/>
    <w:lvl w:ilvl="0">
      <w:lvlJc w:val="left"/>
      <w:lvlText w:val="●"/>
      <w:numFmt w:val="bullet"/>
      <w:start w:val="1"/>
    </w:lvl>
  </w:abstractNum>
  <w:abstractNum w:abstractNumId="4">
    <w:nsid w:val="2F305DEF"/>
    <w:multiLevelType w:val="hybridMultilevel"/>
    <w:lvl w:ilvl="0">
      <w:lvlJc w:val="left"/>
      <w:lvlText w:val="●"/>
      <w:numFmt w:val="bullet"/>
      <w:start w:val="1"/>
    </w:lvl>
  </w:abstractNum>
  <w:abstractNum w:abstractNumId="5">
    <w:nsid w:val="25A70BF7"/>
    <w:multiLevelType w:val="hybridMultilevel"/>
    <w:lvl w:ilvl="0">
      <w:lvlJc w:val="left"/>
      <w:lvlText w:val="●"/>
      <w:numFmt w:val="bullet"/>
      <w:start w:val="1"/>
    </w:lvl>
  </w:abstractNum>
  <w:abstractNum w:abstractNumId="6">
    <w:nsid w:val="1DBABF00"/>
    <w:multiLevelType w:val="hybridMultilevel"/>
    <w:lvl w:ilvl="0">
      <w:lvlJc w:val="left"/>
      <w:lvlText w:val="●"/>
      <w:numFmt w:val="bullet"/>
      <w:start w:val="1"/>
    </w:lvl>
  </w:abstractNum>
  <w:abstractNum w:abstractNumId="7">
    <w:nsid w:val="4AD084E9"/>
    <w:multiLevelType w:val="hybridMultilevel"/>
    <w:lvl w:ilvl="0">
      <w:lvlJc w:val="left"/>
      <w:lvlText w:val="●"/>
      <w:numFmt w:val="bullet"/>
      <w:start w:val="1"/>
    </w:lvl>
  </w:abstractNum>
  <w:abstractNum w:abstractNumId="8">
    <w:nsid w:val="1F48EAA1"/>
    <w:multiLevelType w:val="hybridMultilevel"/>
    <w:lvl w:ilvl="0">
      <w:lvlJc w:val="left"/>
      <w:lvlText w:val="●"/>
      <w:numFmt w:val="bullet"/>
      <w:start w:val="1"/>
    </w:lvl>
  </w:abstractNum>
  <w:abstractNum w:abstractNumId="9">
    <w:nsid w:val="1381823A"/>
    <w:multiLevelType w:val="hybridMultilevel"/>
    <w:lvl w:ilvl="0">
      <w:lvlJc w:val="left"/>
      <w:lvlText w:val="●"/>
      <w:numFmt w:val="bullet"/>
      <w:start w:val="1"/>
    </w:lvl>
  </w:abstractNum>
  <w:abstractNum w:abstractNumId="10">
    <w:nsid w:val="5DB70AE5"/>
    <w:multiLevelType w:val="hybridMultilevel"/>
    <w:lvl w:ilvl="0">
      <w:lvlJc w:val="left"/>
      <w:lvlText w:val="●"/>
      <w:numFmt w:val="bullet"/>
      <w:start w:val="1"/>
    </w:lvl>
  </w:abstractNum>
  <w:abstractNum w:abstractNumId="11">
    <w:nsid w:val="100F8FCA"/>
    <w:multiLevelType w:val="hybridMultilevel"/>
    <w:lvl w:ilvl="0">
      <w:lvlJc w:val="left"/>
      <w:lvlText w:val="●"/>
      <w:numFmt w:val="bullet"/>
      <w:start w:val="1"/>
    </w:lvl>
  </w:abstractNum>
  <w:abstractNum w:abstractNumId="12">
    <w:nsid w:val="6590700B"/>
    <w:multiLevelType w:val="hybridMultilevel"/>
    <w:lvl w:ilvl="0">
      <w:lvlJc w:val="left"/>
      <w:lvlText w:val="%1"/>
      <w:numFmt w:val="upperLetter"/>
      <w:start w:val="35"/>
    </w:lvl>
  </w:abstractNum>
  <w:abstractNum w:abstractNumId="13">
    <w:nsid w:val="15014ACB"/>
    <w:multiLevelType w:val="hybridMultilevel"/>
    <w:lvl w:ilvl="0">
      <w:lvlJc w:val="left"/>
      <w:lvlText w:val="(%1)"/>
      <w:numFmt w:val="decimal"/>
      <w:start w:val="2"/>
    </w:lvl>
  </w:abstractNum>
  <w:abstractNum w:abstractNumId="14">
    <w:nsid w:val="5F5E7FD0"/>
    <w:multiLevelType w:val="hybridMultilevel"/>
    <w:lvl w:ilvl="0">
      <w:lvlJc w:val="left"/>
      <w:lvlText w:val="●"/>
      <w:numFmt w:val="bullet"/>
      <w:start w:val="1"/>
    </w:lvl>
  </w:abstractNum>
  <w:abstractNum w:abstractNumId="15">
    <w:nsid w:val="98A3148"/>
    <w:multiLevelType w:val="hybridMultilevel"/>
    <w:lvl w:ilvl="0">
      <w:lvlJc w:val="left"/>
      <w:lvlText w:val="●"/>
      <w:numFmt w:val="bullet"/>
      <w:start w:val="1"/>
    </w:lvl>
  </w:abstractNum>
  <w:abstractNum w:abstractNumId="16">
    <w:nsid w:val="799D0247"/>
    <w:multiLevelType w:val="hybridMultilevel"/>
    <w:lvl w:ilvl="0">
      <w:lvlJc w:val="left"/>
      <w:lvlText w:val="●"/>
      <w:numFmt w:val="bullet"/>
      <w:start w:val="1"/>
    </w:lvl>
  </w:abstractNum>
  <w:abstractNum w:abstractNumId="17">
    <w:nsid w:val="6B94764"/>
    <w:multiLevelType w:val="hybridMultilevel"/>
    <w:lvl w:ilvl="0">
      <w:lvlJc w:val="left"/>
      <w:lvlText w:val="●"/>
      <w:numFmt w:val="bullet"/>
      <w:start w:val="1"/>
    </w:lvl>
  </w:abstractNum>
  <w:abstractNum w:abstractNumId="18">
    <w:nsid w:val="42C296BD"/>
    <w:multiLevelType w:val="hybridMultilevel"/>
    <w:lvl w:ilvl="0">
      <w:lvlJc w:val="left"/>
      <w:lvlText w:val="●"/>
      <w:numFmt w:val="bullet"/>
      <w:start w:val="1"/>
    </w:lvl>
    <w:lvl w:ilvl="1">
      <w:lvlJc w:val="left"/>
      <w:lvlText w:val=" "/>
      <w:numFmt w:val="bullet"/>
      <w:start w:val="1"/>
    </w:lvl>
  </w:abstractNum>
  <w:abstractNum w:abstractNumId="19">
    <w:nsid w:val="168E121F"/>
    <w:multiLevelType w:val="hybridMultilevel"/>
    <w:lvl w:ilvl="0">
      <w:lvlJc w:val="left"/>
      <w:lvlText w:val="●"/>
      <w:numFmt w:val="bullet"/>
      <w:start w:val="1"/>
    </w:lvl>
  </w:abstractNum>
  <w:abstractNum w:abstractNumId="20">
    <w:nsid w:val="1EBA5D23"/>
    <w:multiLevelType w:val="hybridMultilevel"/>
    <w:lvl w:ilvl="0">
      <w:lvlJc w:val="left"/>
      <w:lvlText w:val="●"/>
      <w:numFmt w:val="bullet"/>
      <w:start w:val="1"/>
    </w:lvl>
  </w:abstractNum>
  <w:abstractNum w:abstractNumId="21">
    <w:nsid w:val="661E3F1E"/>
    <w:multiLevelType w:val="hybridMultilevel"/>
    <w:lvl w:ilvl="0">
      <w:lvlJc w:val="left"/>
      <w:lvlText w:val="●"/>
      <w:numFmt w:val="bullet"/>
      <w:start w:val="1"/>
    </w:lvl>
  </w:abstractNum>
  <w:abstractNum w:abstractNumId="22">
    <w:nsid w:val="5DC79EA8"/>
    <w:multiLevelType w:val="hybridMultilevel"/>
    <w:lvl w:ilvl="0">
      <w:lvlJc w:val="left"/>
      <w:lvlText w:val="●"/>
      <w:numFmt w:val="bullet"/>
      <w:start w:val="1"/>
    </w:lvl>
  </w:abstractNum>
  <w:abstractNum w:abstractNumId="23">
    <w:nsid w:val="540A471C"/>
    <w:multiLevelType w:val="hybridMultilevel"/>
    <w:lvl w:ilvl="0">
      <w:lvlJc w:val="left"/>
      <w:lvlText w:val="●"/>
      <w:numFmt w:val="bullet"/>
      <w:start w:val="1"/>
    </w:lvl>
  </w:abstractNum>
  <w:abstractNum w:abstractNumId="24">
    <w:nsid w:val="7BD3EE7B"/>
    <w:multiLevelType w:val="hybridMultilevel"/>
    <w:lvl w:ilvl="0">
      <w:lvlJc w:val="left"/>
      <w:lvlText w:val="●"/>
      <w:numFmt w:val="bullet"/>
      <w:start w:val="1"/>
    </w:lvl>
  </w:abstractNum>
  <w:abstractNum w:abstractNumId="25">
    <w:nsid w:val="51D9C564"/>
    <w:multiLevelType w:val="hybridMultilevel"/>
    <w:lvl w:ilvl="0">
      <w:lvlJc w:val="left"/>
      <w:lvlText w:val="●"/>
      <w:numFmt w:val="bullet"/>
      <w:start w:val="1"/>
    </w:lvl>
  </w:abstractNum>
  <w:abstractNum w:abstractNumId="26">
    <w:nsid w:val="613EFDC5"/>
    <w:multiLevelType w:val="hybridMultilevel"/>
    <w:lvl w:ilvl="0">
      <w:lvlJc w:val="left"/>
      <w:lvlText w:val="●"/>
      <w:numFmt w:val="bullet"/>
      <w:start w:val="1"/>
    </w:lvl>
  </w:abstractNum>
  <w:abstractNum w:abstractNumId="27">
    <w:nsid w:val="BF72B14"/>
    <w:multiLevelType w:val="hybridMultilevel"/>
    <w:lvl w:ilvl="0">
      <w:lvlJc w:val="left"/>
      <w:lvlText w:val="●"/>
      <w:numFmt w:val="bullet"/>
      <w:start w:val="1"/>
    </w:lvl>
  </w:abstractNum>
  <w:abstractNum w:abstractNumId="28">
    <w:nsid w:val="11447B73"/>
    <w:multiLevelType w:val="hybridMultilevel"/>
    <w:lvl w:ilvl="0">
      <w:lvlJc w:val="left"/>
      <w:lvlText w:val="●"/>
      <w:numFmt w:val="bullet"/>
      <w:start w:val="1"/>
    </w:lvl>
  </w:abstractNum>
  <w:abstractNum w:abstractNumId="29">
    <w:nsid w:val="42963E5A"/>
    <w:multiLevelType w:val="hybridMultilevel"/>
    <w:lvl w:ilvl="0">
      <w:lvlJc w:val="left"/>
      <w:lvlText w:val="●"/>
      <w:numFmt w:val="bullet"/>
      <w:start w:val="1"/>
    </w:lvl>
  </w:abstractNum>
  <w:abstractNum w:abstractNumId="30">
    <w:nsid w:val="A0382C5"/>
    <w:multiLevelType w:val="hybridMultilevel"/>
    <w:lvl w:ilvl="0">
      <w:lvlJc w:val="left"/>
      <w:lvlText w:val="●"/>
      <w:numFmt w:val="bullet"/>
      <w:start w:val="1"/>
    </w:lvl>
  </w:abstractNum>
  <w:abstractNum w:abstractNumId="31">
    <w:nsid w:val="8F2B15E"/>
    <w:multiLevelType w:val="hybridMultilevel"/>
    <w:lvl w:ilvl="0">
      <w:lvlJc w:val="left"/>
      <w:lvlText w:val="●"/>
      <w:numFmt w:val="bullet"/>
      <w:start w:val="1"/>
    </w:lvl>
  </w:abstractNum>
  <w:abstractNum w:abstractNumId="32">
    <w:nsid w:val="1A32234B"/>
    <w:multiLevelType w:val="hybridMultilevel"/>
    <w:lvl w:ilvl="0">
      <w:lvlJc w:val="left"/>
      <w:lvlText w:val="●"/>
      <w:numFmt w:val="bullet"/>
      <w:start w:val="1"/>
    </w:lvl>
  </w:abstractNum>
  <w:abstractNum w:abstractNumId="33">
    <w:nsid w:val="3B0FD379"/>
    <w:multiLevelType w:val="hybridMultilevel"/>
    <w:lvl w:ilvl="0">
      <w:lvlJc w:val="left"/>
      <w:lvlText w:val="●"/>
      <w:numFmt w:val="bullet"/>
      <w:start w:val="1"/>
    </w:lvl>
  </w:abstractNum>
  <w:abstractNum w:abstractNumId="34">
    <w:nsid w:val="68EB2F63"/>
    <w:multiLevelType w:val="hybridMultilevel"/>
    <w:lvl w:ilvl="0">
      <w:lvlJc w:val="left"/>
      <w:lvlText w:val="●"/>
      <w:numFmt w:val="bullet"/>
      <w:start w:val="1"/>
    </w:lvl>
  </w:abstractNum>
  <w:abstractNum w:abstractNumId="35">
    <w:nsid w:val="4962813B"/>
    <w:multiLevelType w:val="hybridMultilevel"/>
    <w:lvl w:ilvl="0">
      <w:lvlJc w:val="left"/>
      <w:lvlText w:val="●"/>
      <w:numFmt w:val="bullet"/>
      <w:start w:val="1"/>
    </w:lvl>
  </w:abstractNum>
  <w:abstractNum w:abstractNumId="36">
    <w:nsid w:val="60B6DF70"/>
    <w:multiLevelType w:val="hybridMultilevel"/>
    <w:lvl w:ilvl="0">
      <w:lvlJc w:val="left"/>
      <w:lvlText w:val="●"/>
      <w:numFmt w:val="bullet"/>
      <w:start w:val="1"/>
    </w:lvl>
  </w:abstractNum>
  <w:abstractNum w:abstractNumId="37">
    <w:nsid w:val="6A5EE64"/>
    <w:multiLevelType w:val="hybridMultilevel"/>
    <w:lvl w:ilvl="0">
      <w:lvlJc w:val="left"/>
      <w:lvlText w:val="●"/>
      <w:numFmt w:val="bullet"/>
      <w:start w:val="1"/>
    </w:lvl>
  </w:abstractNum>
  <w:abstractNum w:abstractNumId="38">
    <w:nsid w:val="14330624"/>
    <w:multiLevelType w:val="hybridMultilevel"/>
    <w:lvl w:ilvl="0">
      <w:lvlJc w:val="left"/>
      <w:lvlText w:val="(%1)"/>
      <w:numFmt w:val="lowerRoman"/>
      <w:start w:val="4"/>
    </w:lvl>
  </w:abstractNum>
  <w:abstractNum w:abstractNumId="39">
    <w:nsid w:val="7FFFCA11"/>
    <w:multiLevelType w:val="hybridMultilevel"/>
    <w:lvl w:ilvl="0">
      <w:lvlJc w:val="left"/>
      <w:lvlText w:val="•"/>
      <w:numFmt w:val="bullet"/>
      <w:start w:val="1"/>
    </w:lvl>
  </w:abstractNum>
  <w:abstractNum w:abstractNumId="40">
    <w:nsid w:val="1A27709E"/>
    <w:multiLevelType w:val="hybridMultilevel"/>
    <w:lvl w:ilvl="0">
      <w:lvlJc w:val="left"/>
      <w:lvlText w:val="•"/>
      <w:numFmt w:val="bullet"/>
      <w:start w:val="1"/>
    </w:lvl>
  </w:abstractNum>
  <w:abstractNum w:abstractNumId="41">
    <w:nsid w:val="71EA1109"/>
    <w:multiLevelType w:val="hybridMultilevel"/>
    <w:lvl w:ilvl="0">
      <w:lvlJc w:val="left"/>
      <w:lvlText w:val="•"/>
      <w:numFmt w:val="bullet"/>
      <w:start w:val="1"/>
    </w:lvl>
  </w:abstractNum>
  <w:abstractNum w:abstractNumId="42">
    <w:nsid w:val="100F59DC"/>
    <w:multiLevelType w:val="hybridMultilevel"/>
    <w:lvl w:ilvl="0">
      <w:lvlJc w:val="left"/>
      <w:lvlText w:val="●"/>
      <w:numFmt w:val="bullet"/>
      <w:start w:val="1"/>
    </w:lvl>
  </w:abstractNum>
  <w:abstractNum w:abstractNumId="43">
    <w:nsid w:val="7FB7E0AA"/>
    <w:multiLevelType w:val="hybridMultilevel"/>
    <w:lvl w:ilvl="0">
      <w:lvlJc w:val="left"/>
      <w:lvlText w:val="-"/>
      <w:numFmt w:val="bullet"/>
      <w:start w:val="1"/>
    </w:lvl>
  </w:abstractNum>
  <w:abstractNum w:abstractNumId="44">
    <w:nsid w:val="6EB5BD4"/>
    <w:multiLevelType w:val="hybridMultilevel"/>
    <w:lvl w:ilvl="0">
      <w:lvlJc w:val="left"/>
      <w:lvlText w:val="(%1)"/>
      <w:numFmt w:val="decimal"/>
      <w:start w:val="28"/>
    </w:lvl>
  </w:abstractNum>
  <w:abstractNum w:abstractNumId="45">
    <w:nsid w:val="6F6DD9AC"/>
    <w:multiLevelType w:val="hybridMultilevel"/>
    <w:lvl w:ilvl="0">
      <w:lvlJc w:val="left"/>
      <w:lvlText w:val="●"/>
      <w:numFmt w:val="bullet"/>
      <w:start w:val="1"/>
    </w:lvl>
  </w:abstractNum>
  <w:abstractNum w:abstractNumId="46">
    <w:nsid w:val="94211F2"/>
    <w:multiLevelType w:val="hybridMultilevel"/>
    <w:lvl w:ilvl="0">
      <w:lvlJc w:val="left"/>
      <w:lvlText w:val="●"/>
      <w:numFmt w:val="bullet"/>
      <w:start w:val="1"/>
    </w:lvl>
  </w:abstractNum>
  <w:abstractNum w:abstractNumId="47">
    <w:nsid w:val="885E1B"/>
    <w:multiLevelType w:val="hybridMultilevel"/>
    <w:lvl w:ilvl="0">
      <w:lvlJc w:val="left"/>
      <w:lvlText w:val="1"/>
      <w:numFmt w:val="bullet"/>
      <w:start w:val="1"/>
    </w:lvl>
  </w:abstractNum>
  <w:abstractNum w:abstractNumId="48">
    <w:nsid w:val="76272110"/>
    <w:multiLevelType w:val="hybridMultilevel"/>
    <w:lvl w:ilvl="0">
      <w:lvlJc w:val="left"/>
      <w:lvlText w:val="1"/>
      <w:numFmt w:val="bullet"/>
      <w:start w:val="1"/>
    </w:lvl>
  </w:abstractNum>
  <w:abstractNum w:abstractNumId="49">
    <w:nsid w:val="4C04A8AF"/>
    <w:multiLevelType w:val="hybridMultilevel"/>
    <w:lvl w:ilvl="0">
      <w:lvlJc w:val="left"/>
      <w:lvlText w:val="2"/>
      <w:numFmt w:val="bullet"/>
      <w:start w:val="1"/>
    </w:lvl>
  </w:abstractNum>
  <w:abstractNum w:abstractNumId="50">
    <w:nsid w:val="1716703B"/>
    <w:multiLevelType w:val="hybridMultilevel"/>
    <w:lvl w:ilvl="0">
      <w:lvlJc w:val="left"/>
      <w:lvlText w:val="3"/>
      <w:numFmt w:val="bullet"/>
      <w:start w:val="1"/>
    </w:lvl>
  </w:abstractNum>
  <w:abstractNum w:abstractNumId="51">
    <w:nsid w:val="14E17E33"/>
    <w:multiLevelType w:val="hybridMultilevel"/>
    <w:lvl w:ilvl="0">
      <w:lvlJc w:val="left"/>
      <w:lvlText w:val="4"/>
      <w:numFmt w:val="bullet"/>
      <w:start w:val="1"/>
    </w:lvl>
  </w:abstractNum>
  <w:abstractNum w:abstractNumId="52">
    <w:nsid w:val="3222E7CD"/>
    <w:multiLevelType w:val="hybridMultilevel"/>
    <w:lvl w:ilvl="0">
      <w:lvlJc w:val="left"/>
      <w:lvlText w:val="5"/>
      <w:numFmt w:val="bullet"/>
      <w:start w:val="1"/>
    </w:lvl>
  </w:abstractNum>
  <w:abstractNum w:abstractNumId="53">
    <w:nsid w:val="74DE0EE3"/>
    <w:multiLevelType w:val="hybridMultilevel"/>
    <w:lvl w:ilvl="0">
      <w:lvlJc w:val="left"/>
      <w:lvlText w:val="6"/>
      <w:numFmt w:val="bullet"/>
      <w:start w:val="1"/>
    </w:lvl>
  </w:abstractNum>
  <w:abstractNum w:abstractNumId="54">
    <w:nsid w:val="68EBC550"/>
    <w:multiLevelType w:val="hybridMultilevel"/>
    <w:lvl w:ilvl="0">
      <w:lvlJc w:val="left"/>
      <w:lvlText w:val="(%1)"/>
      <w:numFmt w:val="decimal"/>
      <w:start w:val="1"/>
    </w:lvl>
  </w:abstractNum>
  <w:abstractNum w:abstractNumId="55">
    <w:nsid w:val="2DF6D648"/>
    <w:multiLevelType w:val="hybridMultilevel"/>
    <w:lvl w:ilvl="0">
      <w:lvlJc w:val="left"/>
      <w:lvlText w:val="(%1)"/>
      <w:numFmt w:val="decimal"/>
      <w:start w:val="1"/>
    </w:lvl>
  </w:abstractNum>
  <w:abstractNum w:abstractNumId="56">
    <w:nsid w:val="46B7D447"/>
    <w:multiLevelType w:val="hybridMultilevel"/>
    <w:lvl w:ilvl="0">
      <w:lvlJc w:val="left"/>
      <w:lvlText w:val="%1"/>
      <w:numFmt w:val="decimal"/>
      <w:start w:val="35"/>
    </w:lvl>
  </w:abstractNum>
  <w:abstractNum w:abstractNumId="57">
    <w:nsid w:val="4A2AC315"/>
    <w:multiLevelType w:val="hybridMultilevel"/>
    <w:lvl w:ilvl="0">
      <w:lvlJc w:val="left"/>
      <w:lvlText w:val="%1"/>
      <w:numFmt w:val="decimal"/>
      <w:start w:val="33"/>
    </w:lvl>
  </w:abstractNum>
  <w:abstractNum w:abstractNumId="58">
    <w:nsid w:val="39EE015C"/>
    <w:multiLevelType w:val="hybridMultilevel"/>
    <w:lvl w:ilvl="0">
      <w:lvlJc w:val="left"/>
      <w:lvlText w:val="%1"/>
      <w:numFmt w:val="decimal"/>
      <w:start w:val="58"/>
    </w:lvl>
  </w:abstractNum>
  <w:abstractNum w:abstractNumId="59">
    <w:nsid w:val="57FC4FBB"/>
    <w:multiLevelType w:val="hybridMultilevel"/>
    <w:lvl w:ilvl="0">
      <w:lvlJc w:val="left"/>
      <w:lvlText w:val="%1"/>
      <w:numFmt w:val="decimal"/>
      <w:start w:val="58"/>
    </w:lvl>
  </w:abstractNum>
  <w:abstractNum w:abstractNumId="60">
    <w:nsid w:val="CC1016F"/>
    <w:multiLevelType w:val="hybridMultilevel"/>
    <w:lvl w:ilvl="0">
      <w:lvlJc w:val="left"/>
      <w:lvlText w:val="%1"/>
      <w:numFmt w:val="decimal"/>
      <w:start w:val="60"/>
    </w:lvl>
  </w:abstractNum>
  <w:abstractNum w:abstractNumId="61">
    <w:nsid w:val="43F18422"/>
    <w:multiLevelType w:val="hybridMultilevel"/>
    <w:lvl w:ilvl="0">
      <w:lvlJc w:val="left"/>
      <w:lvlText w:val="%1"/>
      <w:numFmt w:val="decimal"/>
      <w:start w:val="64"/>
    </w:lvl>
  </w:abstractNum>
  <w:abstractNum w:abstractNumId="62">
    <w:nsid w:val="60EF0119"/>
    <w:multiLevelType w:val="hybridMultilevel"/>
    <w:lvl w:ilvl="0">
      <w:lvlJc w:val="left"/>
      <w:lvlText w:val="●"/>
      <w:numFmt w:val="bullet"/>
      <w:start w:val="1"/>
    </w:lvl>
  </w:abstractNum>
  <w:abstractNum w:abstractNumId="63">
    <w:nsid w:val="26F324BA"/>
    <w:multiLevelType w:val="hybridMultilevel"/>
    <w:lvl w:ilvl="0">
      <w:lvlJc w:val="left"/>
      <w:lvlText w:val="●"/>
      <w:numFmt w:val="bullet"/>
      <w:start w:val="1"/>
    </w:lvl>
  </w:abstractNum>
  <w:abstractNum w:abstractNumId="64">
    <w:nsid w:val="7F01579B"/>
    <w:multiLevelType w:val="hybridMultilevel"/>
    <w:lvl w:ilvl="0">
      <w:lvlJc w:val="left"/>
      <w:lvlText w:val="●"/>
      <w:numFmt w:val="bullet"/>
      <w:start w:val="1"/>
    </w:lvl>
  </w:abstractNum>
  <w:abstractNum w:abstractNumId="65">
    <w:nsid w:val="49DA307D"/>
    <w:multiLevelType w:val="hybridMultilevel"/>
    <w:lvl w:ilvl="0">
      <w:lvlJc w:val="left"/>
      <w:lvlText w:val="(%1)"/>
      <w:numFmt w:val="decimal"/>
      <w:start w:val="1"/>
    </w:lvl>
  </w:abstractNum>
  <w:abstractNum w:abstractNumId="66">
    <w:nsid w:val="7055A5F5"/>
    <w:multiLevelType w:val="hybridMultilevel"/>
    <w:lvl w:ilvl="0">
      <w:lvlJc w:val="left"/>
      <w:lvlText w:val="(%1)"/>
      <w:numFmt w:val="decimal"/>
      <w:start w:val="1"/>
    </w:lvl>
  </w:abstractNum>
  <w:abstractNum w:abstractNumId="67">
    <w:nsid w:val="5FB8370B"/>
    <w:multiLevelType w:val="hybridMultilevel"/>
    <w:lvl w:ilvl="0">
      <w:lvlJc w:val="left"/>
      <w:lvlText w:val="%1)"/>
      <w:numFmt w:val="decimal"/>
      <w:start w:val="1"/>
    </w:lvl>
  </w:abstractNum>
  <w:abstractNum w:abstractNumId="68">
    <w:nsid w:val="50801EE1"/>
    <w:multiLevelType w:val="hybridMultilevel"/>
    <w:lvl w:ilvl="0">
      <w:lvlJc w:val="left"/>
      <w:lvlText w:val="(%1)"/>
      <w:numFmt w:val="decimal"/>
      <w:start w:val="2"/>
    </w:lvl>
  </w:abstractNum>
  <w:abstractNum w:abstractNumId="69">
    <w:nsid w:val="488AC1A"/>
    <w:multiLevelType w:val="hybridMultilevel"/>
    <w:lvl w:ilvl="0">
      <w:lvlJc w:val="left"/>
      <w:lvlText w:val="(%1)"/>
      <w:numFmt w:val="decimal"/>
      <w:start w:val="1"/>
    </w:lvl>
  </w:abstractNum>
  <w:abstractNum w:abstractNumId="70">
    <w:nsid w:val="5FB8011C"/>
    <w:multiLevelType w:val="hybridMultilevel"/>
    <w:lvl w:ilvl="0">
      <w:lvlJc w:val="left"/>
      <w:lvlText w:val="(%1)"/>
      <w:numFmt w:val="decimal"/>
      <w:start w:val="5"/>
    </w:lvl>
  </w:abstractNum>
  <w:abstractNum w:abstractNumId="71">
    <w:nsid w:val="6AA78F7F"/>
    <w:multiLevelType w:val="hybridMultilevel"/>
    <w:lvl w:ilvl="0">
      <w:lvlJc w:val="left"/>
      <w:lvlText w:val="(%1)"/>
      <w:numFmt w:val="decimal"/>
      <w:start w:val="1"/>
    </w:lvl>
  </w:abstractNum>
  <w:abstractNum w:abstractNumId="72">
    <w:nsid w:val="7672BD23"/>
    <w:multiLevelType w:val="hybridMultilevel"/>
    <w:lvl w:ilvl="0">
      <w:lvlJc w:val="left"/>
      <w:lvlText w:val="●"/>
      <w:numFmt w:val="bullet"/>
      <w:start w:val="1"/>
    </w:lvl>
  </w:abstractNum>
  <w:abstractNum w:abstractNumId="73">
    <w:nsid w:val="6FC75AF8"/>
    <w:multiLevelType w:val="hybridMultilevel"/>
    <w:lvl w:ilvl="0">
      <w:lvlJc w:val="left"/>
      <w:lvlText w:val="●"/>
      <w:numFmt w:val="bullet"/>
      <w:start w:val="1"/>
    </w:lvl>
  </w:abstractNum>
  <w:abstractNum w:abstractNumId="74">
    <w:nsid w:val="6A5F7029"/>
    <w:multiLevelType w:val="hybridMultilevel"/>
    <w:lvl w:ilvl="0">
      <w:lvlJc w:val="left"/>
      <w:lvlText w:val="●"/>
      <w:numFmt w:val="bullet"/>
      <w:start w:val="1"/>
    </w:lvl>
  </w:abstractNum>
  <w:abstractNum w:abstractNumId="75">
    <w:nsid w:val="7D5E18F8"/>
    <w:multiLevelType w:val="hybridMultilevel"/>
    <w:lvl w:ilvl="0">
      <w:lvlJc w:val="left"/>
      <w:lvlText w:val="●"/>
      <w:numFmt w:val="bullet"/>
      <w:start w:val="1"/>
    </w:lvl>
  </w:abstractNum>
  <w:abstractNum w:abstractNumId="76">
    <w:nsid w:val="5F3534A4"/>
    <w:multiLevelType w:val="hybridMultilevel"/>
    <w:lvl w:ilvl="0">
      <w:lvlJc w:val="left"/>
      <w:lvlText w:val="(%1)"/>
      <w:numFmt w:val="decimal"/>
      <w:start w:val="1"/>
    </w:lvl>
  </w:abstractNum>
  <w:abstractNum w:abstractNumId="77">
    <w:nsid w:val="73A1821B"/>
    <w:multiLevelType w:val="hybridMultilevel"/>
    <w:lvl w:ilvl="0">
      <w:lvlJc w:val="left"/>
      <w:lvlText w:val="*"/>
      <w:numFmt w:val="bullet"/>
      <w:start w:val="1"/>
    </w:lvl>
  </w:abstractNum>
  <w:abstractNum w:abstractNumId="78">
    <w:nsid w:val="7DE67713"/>
    <w:multiLevelType w:val="hybridMultilevel"/>
    <w:lvl w:ilvl="0">
      <w:lvlJc w:val="left"/>
      <w:lvlText w:val="#"/>
      <w:numFmt w:val="bullet"/>
      <w:start w:val="1"/>
    </w:lvl>
  </w:abstractNum>
  <w:abstractNum w:abstractNumId="79">
    <w:nsid w:val="555C55B5"/>
    <w:multiLevelType w:val="hybridMultilevel"/>
    <w:lvl w:ilvl="0">
      <w:lvlJc w:val="left"/>
      <w:lvlText w:val="+"/>
      <w:numFmt w:val="bullet"/>
      <w:start w:val="1"/>
    </w:lvl>
  </w:abstractNum>
  <w:abstractNum w:abstractNumId="80">
    <w:nsid w:val="3FA62ACA"/>
    <w:multiLevelType w:val="hybridMultilevel"/>
    <w:lvl w:ilvl="0">
      <w:lvlJc w:val="left"/>
      <w:lvlText w:val="^"/>
      <w:numFmt w:val="bullet"/>
      <w:start w:val="1"/>
    </w:lvl>
  </w:abstractNum>
  <w:abstractNum w:abstractNumId="81">
    <w:nsid w:val="14FCE74E"/>
    <w:multiLevelType w:val="hybridMultilevel"/>
    <w:lvl w:ilvl="0">
      <w:lvlJc w:val="left"/>
      <w:lvlText w:val="%1."/>
      <w:numFmt w:val="decimal"/>
      <w:start w:val="1"/>
    </w:lvl>
  </w:abstractNum>
  <w:abstractNum w:abstractNumId="82">
    <w:nsid w:val="6A3DD3E8"/>
    <w:multiLevelType w:val="hybridMultilevel"/>
    <w:lvl w:ilvl="0">
      <w:lvlJc w:val="left"/>
      <w:lvlText w:val="%1."/>
      <w:numFmt w:val="decimal"/>
      <w:start w:val="3"/>
    </w:lvl>
  </w:abstractNum>
  <w:abstractNum w:abstractNumId="83">
    <w:nsid w:val="71C91298"/>
    <w:multiLevelType w:val="hybridMultilevel"/>
    <w:lvl w:ilvl="0">
      <w:lvlJc w:val="left"/>
      <w:lvlText w:val="(%1)"/>
      <w:numFmt w:val="lowerRoman"/>
      <w:start w:val="1"/>
    </w:lvl>
  </w:abstractNum>
  <w:abstractNum w:abstractNumId="84">
    <w:nsid w:val="9DAF632"/>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85">
    <w:nsid w:val="53299938"/>
    <w:multiLevelType w:val="hybridMultilevel"/>
    <w:lvl w:ilvl="0">
      <w:lvlJc w:val="left"/>
      <w:lvlText w:val="%1."/>
      <w:numFmt w:val="decimal"/>
      <w:start w:val="4"/>
    </w:lvl>
    <w:lvl w:ilvl="1">
      <w:lvlJc w:val="left"/>
      <w:lvlText w:val="(%2)"/>
      <w:numFmt w:val="lowerRoman"/>
      <w:start w:val="4"/>
    </w:lvl>
    <w:lvl w:ilvl="2">
      <w:lvlJc w:val="left"/>
      <w:lvlText w:val="%3"/>
      <w:numFmt w:val="lowerLetter"/>
      <w:start w:val="1"/>
    </w:lvl>
  </w:abstractNum>
  <w:abstractNum w:abstractNumId="86">
    <w:nsid w:val="1FBFE8E0"/>
    <w:multiLevelType w:val="hybridMultilevel"/>
    <w:lvl w:ilvl="0">
      <w:lvlJc w:val="left"/>
      <w:lvlText w:val="%1."/>
      <w:numFmt w:val="decimal"/>
      <w:start w:val="5"/>
    </w:lvl>
  </w:abstractNum>
  <w:abstractNum w:abstractNumId="87">
    <w:nsid w:val="5092CA79"/>
    <w:multiLevelType w:val="hybridMultilevel"/>
    <w:lvl w:ilvl="0">
      <w:lvlJc w:val="left"/>
      <w:lvlText w:val="%1."/>
      <w:numFmt w:val="decimal"/>
      <w:start w:val="6"/>
    </w:lvl>
  </w:abstractNum>
  <w:abstractNum w:abstractNumId="88">
    <w:nsid w:val="1D545C4D"/>
    <w:multiLevelType w:val="hybridMultilevel"/>
    <w:lvl w:ilvl="0">
      <w:lvlJc w:val="left"/>
      <w:lvlText w:val="(%1)"/>
      <w:numFmt w:val="lowerLetter"/>
      <w:start w:val="1"/>
    </w:lvl>
  </w:abstractNum>
  <w:abstractNum w:abstractNumId="89">
    <w:nsid w:val="59ADEA3D"/>
    <w:multiLevelType w:val="hybridMultilevel"/>
    <w:lvl w:ilvl="0">
      <w:lvlJc w:val="left"/>
      <w:lvlText w:val="(%1)"/>
      <w:numFmt w:val="lowerLetter"/>
      <w:start w:val="5"/>
    </w:lvl>
  </w:abstractNum>
  <w:abstractNum w:abstractNumId="90">
    <w:nsid w:val="288F1A34"/>
    <w:multiLevelType w:val="hybridMultilevel"/>
    <w:lvl w:ilvl="0">
      <w:lvlJc w:val="left"/>
      <w:lvlText w:val="(%1)"/>
      <w:numFmt w:val="lowerLetter"/>
      <w:start w:val="13"/>
    </w:lvl>
  </w:abstractNum>
  <w:abstractNum w:abstractNumId="91">
    <w:nsid w:val="2A155DBC"/>
    <w:multiLevelType w:val="hybridMultilevel"/>
    <w:lvl w:ilvl="0">
      <w:lvlJc w:val="left"/>
      <w:lvlText w:val="%1."/>
      <w:numFmt w:val="decimal"/>
      <w:start w:val="8"/>
    </w:lvl>
  </w:abstractNum>
  <w:abstractNum w:abstractNumId="92">
    <w:nsid w:val="1D9F6E5F"/>
    <w:multiLevelType w:val="hybridMultilevel"/>
    <w:lvl w:ilvl="0">
      <w:lvlJc w:val="left"/>
      <w:lvlText w:val="%1."/>
      <w:numFmt w:val="decimal"/>
      <w:start w:val="1"/>
    </w:lvl>
    <w:lvl w:ilvl="1">
      <w:lvlJc w:val="left"/>
      <w:lvlText w:val="-"/>
      <w:numFmt w:val="bullet"/>
      <w:start w:val="1"/>
    </w:lvl>
  </w:abstractNum>
  <w:abstractNum w:abstractNumId="93">
    <w:nsid w:val="97E1B4E"/>
    <w:multiLevelType w:val="hybridMultilevel"/>
    <w:lvl w:ilvl="0">
      <w:lvlJc w:val="left"/>
      <w:lvlText w:val="%1."/>
      <w:numFmt w:val="decimal"/>
      <w:start w:val="1"/>
    </w:lvl>
    <w:lvl w:ilvl="1">
      <w:lvlJc w:val="left"/>
      <w:lvlText w:val="-"/>
      <w:numFmt w:val="bullet"/>
      <w:start w:val="1"/>
    </w:lvl>
  </w:abstractNum>
  <w:abstractNum w:abstractNumId="94">
    <w:nsid w:val="51088277"/>
    <w:multiLevelType w:val="hybridMultilevel"/>
    <w:lvl w:ilvl="0">
      <w:lvlJc w:val="left"/>
      <w:lvlText w:val="%1."/>
      <w:numFmt w:val="decimal"/>
      <w:start w:val="1"/>
    </w:lvl>
    <w:lvl w:ilvl="1">
      <w:lvlJc w:val="left"/>
      <w:lvlText w:val="-"/>
      <w:numFmt w:val="bullet"/>
      <w:start w:val="1"/>
    </w:lvl>
  </w:abstractNum>
  <w:abstractNum w:abstractNumId="95">
    <w:nsid w:val="1CA0C5FA"/>
    <w:multiLevelType w:val="hybridMultilevel"/>
    <w:lvl w:ilvl="0">
      <w:lvlJc w:val="left"/>
      <w:lvlText w:val="%1."/>
      <w:numFmt w:val="decimal"/>
      <w:start w:val="1"/>
    </w:lvl>
    <w:lvl w:ilvl="1">
      <w:lvlJc w:val="left"/>
      <w:lvlText w:val="-"/>
      <w:numFmt w:val="bullet"/>
      <w:start w:val="1"/>
    </w:lvl>
  </w:abstractNum>
  <w:abstractNum w:abstractNumId="96">
    <w:nsid w:val="53584BCB"/>
    <w:multiLevelType w:val="hybridMultilevel"/>
    <w:lvl w:ilvl="0">
      <w:lvlJc w:val="left"/>
      <w:lvlText w:val="%1."/>
      <w:numFmt w:val="decimal"/>
      <w:start w:val="1"/>
    </w:lvl>
    <w:lvl w:ilvl="1">
      <w:lvlJc w:val="left"/>
      <w:lvlText w:val="-"/>
      <w:numFmt w:val="bullet"/>
      <w:start w:val="1"/>
    </w:lvl>
  </w:abstractNum>
  <w:abstractNum w:abstractNumId="97">
    <w:nsid w:val="415E286C"/>
    <w:multiLevelType w:val="hybridMultilevel"/>
    <w:lvl w:ilvl="0">
      <w:lvlJc w:val="left"/>
      <w:lvlText w:val="%1."/>
      <w:numFmt w:val="decimal"/>
      <w:start w:val="1"/>
    </w:lvl>
    <w:lvl w:ilvl="1">
      <w:lvlJc w:val="left"/>
      <w:lvlText w:val="-"/>
      <w:numFmt w:val="bullet"/>
      <w:start w:val="1"/>
    </w:lvl>
  </w:abstractNum>
  <w:abstractNum w:abstractNumId="98">
    <w:nsid w:val="7C58FD05"/>
    <w:multiLevelType w:val="hybridMultilevel"/>
    <w:lvl w:ilvl="0">
      <w:lvlJc w:val="left"/>
      <w:lvlText w:val="%1."/>
      <w:numFmt w:val="decimal"/>
      <w:start w:val="1"/>
    </w:lvl>
    <w:lvl w:ilvl="1">
      <w:lvlJc w:val="left"/>
      <w:lvlText w:val="-"/>
      <w:numFmt w:val="bullet"/>
      <w:start w:val="1"/>
    </w:lvl>
  </w:abstractNum>
  <w:abstractNum w:abstractNumId="99">
    <w:nsid w:val="23D86AAC"/>
    <w:multiLevelType w:val="hybridMultilevel"/>
    <w:lvl w:ilvl="0">
      <w:lvlJc w:val="left"/>
      <w:lvlText w:val="%1."/>
      <w:numFmt w:val="decimal"/>
      <w:start w:val="1"/>
    </w:lvl>
  </w:abstractNum>
  <w:abstractNum w:abstractNumId="100">
    <w:nsid w:val="45E6D486"/>
    <w:multiLevelType w:val="hybridMultilevel"/>
    <w:lvl w:ilvl="0">
      <w:lvlJc w:val="left"/>
      <w:lvlText w:val="%1."/>
      <w:numFmt w:val="decimal"/>
      <w:start w:val="2"/>
    </w:lvl>
    <w:lvl w:ilvl="1">
      <w:lvlJc w:val="left"/>
      <w:lvlText w:val="(%2)"/>
      <w:numFmt w:val="lowerLetter"/>
      <w:start w:val="1"/>
    </w:lvl>
  </w:abstractNum>
  <w:abstractNum w:abstractNumId="101">
    <w:nsid w:val="5C10FE21"/>
    <w:multiLevelType w:val="hybridMultilevel"/>
    <w:lvl w:ilvl="0">
      <w:lvlJc w:val="left"/>
      <w:lvlText w:val="(%1)"/>
      <w:numFmt w:val="lowerLetter"/>
      <w:start w:val="8"/>
    </w:lvl>
  </w:abstractNum>
  <w:abstractNum w:abstractNumId="102">
    <w:nsid w:val="E7FFA2B"/>
    <w:multiLevelType w:val="hybridMultilevel"/>
    <w:lvl w:ilvl="0">
      <w:lvlJc w:val="left"/>
      <w:lvlText w:val="%1"/>
      <w:numFmt w:val="decimal"/>
      <w:start w:val="1"/>
    </w:lvl>
    <w:lvl w:ilvl="1">
      <w:lvlJc w:val="left"/>
      <w:lvlText w:val="(%2)"/>
      <w:numFmt w:val="lowerLetter"/>
      <w:start w:val="24"/>
    </w:lvl>
    <w:lvl w:ilvl="2">
      <w:lvlJc w:val="left"/>
      <w:lvlText w:val="%3"/>
      <w:numFmt w:val="lowerRoman"/>
      <w:start w:val="1"/>
    </w:lvl>
  </w:abstractNum>
  <w:abstractNum w:abstractNumId="103">
    <w:nsid w:val="3C5991A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04">
    <w:nsid w:val="4BD8591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2"/>
    </w:lvl>
  </w:abstractNum>
  <w:abstractNum w:abstractNumId="105">
    <w:nsid w:val="78DF6A5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06">
    <w:nsid w:val="39B7AAA2"/>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07">
    <w:nsid w:val="2B0D8DBE"/>
    <w:multiLevelType w:val="hybridMultilevel"/>
    <w:lvl w:ilvl="0">
      <w:lvlJc w:val="left"/>
      <w:lvlText w:val="%1."/>
      <w:numFmt w:val="decimal"/>
      <w:start w:val="11"/>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108">
    <w:nsid w:val="6C80EC70"/>
    <w:multiLevelType w:val="hybridMultilevel"/>
    <w:lvl w:ilvl="0">
      <w:lvlJc w:val="left"/>
      <w:lvlText w:val="%1."/>
      <w:numFmt w:val="decimal"/>
      <w:start w:val="14"/>
    </w:lvl>
    <w:lvl w:ilvl="1">
      <w:lvlJc w:val="left"/>
      <w:lvlText w:val="(%2)"/>
      <w:numFmt w:val="lowerLetter"/>
      <w:start w:val="1"/>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109">
    <w:nsid w:val="379E21B5"/>
    <w:multiLevelType w:val="hybridMultilevel"/>
    <w:lvl w:ilvl="0">
      <w:lvlJc w:val="left"/>
      <w:lvlText w:val="%1."/>
      <w:numFmt w:val="decimal"/>
      <w:start w:val="17"/>
    </w:lvl>
    <w:lvl w:ilvl="1">
      <w:lvlJc w:val="left"/>
      <w:lvlText w:val="(%2)"/>
      <w:numFmt w:val="lowerLetter"/>
      <w:start w:val="1"/>
    </w:lvl>
    <w:lvl w:ilvl="2">
      <w:lvlJc w:val="left"/>
      <w:lvlText w:val="(%3)"/>
      <w:numFmt w:val="lowerRoman"/>
      <w:start w:val="1"/>
    </w:lvl>
  </w:abstractNum>
  <w:abstractNum w:abstractNumId="110">
    <w:nsid w:val="69E373"/>
    <w:multiLevelType w:val="hybridMultilevel"/>
    <w:lvl w:ilvl="0">
      <w:lvlJc w:val="left"/>
      <w:lvlText w:val="%1."/>
      <w:numFmt w:val="decimal"/>
      <w:start w:val="19"/>
    </w:lvl>
    <w:lvl w:ilvl="1">
      <w:lvlJc w:val="left"/>
      <w:lvlText w:val="(%2)"/>
      <w:numFmt w:val="lowerLetter"/>
      <w:start w:val="1"/>
    </w:lvl>
  </w:abstractNum>
  <w:abstractNum w:abstractNumId="111">
    <w:nsid w:val="2C27173B"/>
    <w:multiLevelType w:val="hybridMultilevel"/>
    <w:lvl w:ilvl="0">
      <w:lvlJc w:val="left"/>
      <w:lvlText w:val="%1."/>
      <w:numFmt w:val="decimal"/>
      <w:start w:val="1"/>
    </w:lvl>
  </w:abstractNum>
  <w:abstractNum w:abstractNumId="112">
    <w:nsid w:val="4C9B0904"/>
    <w:multiLevelType w:val="hybridMultilevel"/>
    <w:lvl w:ilvl="0">
      <w:lvlJc w:val="left"/>
      <w:lvlText w:val="●"/>
      <w:numFmt w:val="bullet"/>
      <w:start w:val="1"/>
    </w:lvl>
  </w:abstractNum>
  <w:abstractNum w:abstractNumId="113">
    <w:nsid w:val="6AA7B75C"/>
    <w:multiLevelType w:val="hybridMultilevel"/>
    <w:lvl w:ilvl="0">
      <w:lvlJc w:val="left"/>
      <w:lvlText w:val="●"/>
      <w:numFmt w:val="bullet"/>
      <w:start w:val="1"/>
    </w:lvl>
  </w:abstractNum>
  <w:abstractNum w:abstractNumId="114">
    <w:nsid w:val="1DF029D3"/>
    <w:multiLevelType w:val="hybridMultilevel"/>
    <w:lvl w:ilvl="0">
      <w:lvlJc w:val="left"/>
      <w:lvlText w:val="●"/>
      <w:numFmt w:val="bullet"/>
      <w:start w:val="1"/>
    </w:lvl>
  </w:abstractNum>
  <w:abstractNum w:abstractNumId="115">
    <w:nsid w:val="5675FF36"/>
    <w:multiLevelType w:val="hybridMultilevel"/>
    <w:lvl w:ilvl="0">
      <w:lvlJc w:val="left"/>
      <w:lvlText w:val="●"/>
      <w:numFmt w:val="bullet"/>
      <w:start w:val="1"/>
    </w:lvl>
  </w:abstractNum>
  <w:abstractNum w:abstractNumId="116">
    <w:nsid w:val="3DD15094"/>
    <w:multiLevelType w:val="hybridMultilevel"/>
    <w:lvl w:ilvl="0">
      <w:lvlJc w:val="left"/>
      <w:lvlText w:val="●"/>
      <w:numFmt w:val="bullet"/>
      <w:start w:val="1"/>
    </w:lvl>
  </w:abstractNum>
  <w:abstractNum w:abstractNumId="117">
    <w:nsid w:val="3DB012B3"/>
    <w:multiLevelType w:val="hybridMultilevel"/>
    <w:lvl w:ilvl="0">
      <w:lvlJc w:val="left"/>
      <w:lvlText w:val="%1."/>
      <w:numFmt w:val="decimal"/>
      <w:start w:val="1"/>
    </w:lvl>
    <w:lvl w:ilvl="1">
      <w:lvlJc w:val="left"/>
      <w:lvlText w:val="(%2)"/>
      <w:numFmt w:val="lowerLetter"/>
      <w:start w:val="1"/>
    </w:lvl>
  </w:abstractNum>
  <w:abstractNum w:abstractNumId="118">
    <w:nsid w:val="2708C9AF"/>
    <w:multiLevelType w:val="hybridMultilevel"/>
    <w:lvl w:ilvl="0">
      <w:lvlJc w:val="left"/>
      <w:lvlText w:val="%1."/>
      <w:numFmt w:val="decimal"/>
      <w:start w:val="1"/>
    </w:lvl>
    <w:lvl w:ilvl="1">
      <w:lvlJc w:val="left"/>
      <w:lvlText w:val="(%2)"/>
      <w:numFmt w:val="lowerLetter"/>
      <w:start w:val="1"/>
    </w:lvl>
  </w:abstractNum>
  <w:abstractNum w:abstractNumId="119">
    <w:nsid w:val="5B25ACE2"/>
    <w:multiLevelType w:val="hybridMultilevel"/>
    <w:lvl w:ilvl="0">
      <w:lvlJc w:val="left"/>
      <w:lvlText w:val="(%1)"/>
      <w:numFmt w:val="decimal"/>
      <w:start w:val="1"/>
    </w:lvl>
  </w:abstractNum>
  <w:abstractNum w:abstractNumId="120">
    <w:nsid w:val="175DFCF0"/>
    <w:multiLevelType w:val="hybridMultilevel"/>
    <w:lvl w:ilvl="0">
      <w:lvlJc w:val="left"/>
      <w:lvlText w:val="(%1)"/>
      <w:numFmt w:val="decimal"/>
      <w:start w:val="1"/>
    </w:lvl>
  </w:abstractNum>
  <w:abstractNum w:abstractNumId="121">
    <w:nsid w:val="4F97E3E4"/>
    <w:multiLevelType w:val="hybridMultilevel"/>
    <w:lvl w:ilvl="0">
      <w:lvlJc w:val="left"/>
      <w:lvlText w:val="%1."/>
      <w:numFmt w:val="decimal"/>
      <w:start w:val="1"/>
    </w:lvl>
  </w:abstractNum>
  <w:abstractNum w:abstractNumId="122">
    <w:nsid w:val="53B0A9E"/>
    <w:multiLevelType w:val="hybridMultilevel"/>
    <w:lvl w:ilvl="0">
      <w:lvlJc w:val="left"/>
      <w:lvlText w:val="%1."/>
      <w:numFmt w:val="decimal"/>
      <w:start w:val="4"/>
    </w:lvl>
    <w:lvl w:ilvl="1">
      <w:lvlJc w:val="left"/>
      <w:lvlText w:val="●"/>
      <w:numFmt w:val="bullet"/>
      <w:start w:val="1"/>
    </w:lvl>
  </w:abstractNum>
  <w:abstractNum w:abstractNumId="123">
    <w:nsid w:val="34FD6B4F"/>
    <w:multiLevelType w:val="hybridMultilevel"/>
    <w:lvl w:ilvl="0">
      <w:lvlJc w:val="left"/>
      <w:lvlText w:val="%1."/>
      <w:numFmt w:val="decimal"/>
      <w:start w:val="4"/>
    </w:lvl>
    <w:lvl w:ilvl="1">
      <w:lvlJc w:val="left"/>
      <w:lvlText w:val="●"/>
      <w:numFmt w:val="bullet"/>
      <w:start w:val="1"/>
    </w:lvl>
  </w:abstractNum>
  <w:abstractNum w:abstractNumId="124">
    <w:nsid w:val="5915FF32"/>
    <w:multiLevelType w:val="hybridMultilevel"/>
    <w:lvl w:ilvl="0">
      <w:lvlJc w:val="left"/>
      <w:lvlText w:val="%1."/>
      <w:numFmt w:val="decimal"/>
      <w:start w:val="6"/>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71" Type="http://schemas.openxmlformats.org/officeDocument/2006/relationships/image" Target="media/image151.png"/><Relationship Id="rId172" Type="http://schemas.openxmlformats.org/officeDocument/2006/relationships/image" Target="media/image152.png"/><Relationship Id="rId173" Type="http://schemas.openxmlformats.org/officeDocument/2006/relationships/image" Target="media/image153.png"/><Relationship Id="rId174" Type="http://schemas.openxmlformats.org/officeDocument/2006/relationships/image" Target="media/image154.png"/><Relationship Id="rId175" Type="http://schemas.openxmlformats.org/officeDocument/2006/relationships/image" Target="media/image155.png"/><Relationship Id="rId176" Type="http://schemas.openxmlformats.org/officeDocument/2006/relationships/image" Target="media/image156.png"/><Relationship Id="rId177" Type="http://schemas.openxmlformats.org/officeDocument/2006/relationships/image" Target="media/image157.png"/><Relationship Id="rId178" Type="http://schemas.openxmlformats.org/officeDocument/2006/relationships/image" Target="media/image158.png"/><Relationship Id="rId179" Type="http://schemas.openxmlformats.org/officeDocument/2006/relationships/image" Target="media/image159.png"/><Relationship Id="rId180" Type="http://schemas.openxmlformats.org/officeDocument/2006/relationships/image" Target="media/image160.png"/><Relationship Id="rId181" Type="http://schemas.openxmlformats.org/officeDocument/2006/relationships/image" Target="media/image161.png"/><Relationship Id="rId182" Type="http://schemas.openxmlformats.org/officeDocument/2006/relationships/image" Target="media/image162.png"/><Relationship Id="rId183" Type="http://schemas.openxmlformats.org/officeDocument/2006/relationships/image" Target="media/image163.png"/><Relationship Id="rId184" Type="http://schemas.openxmlformats.org/officeDocument/2006/relationships/image" Target="media/image164.png"/><Relationship Id="rId185" Type="http://schemas.openxmlformats.org/officeDocument/2006/relationships/image" Target="media/image165.png"/><Relationship Id="rId186" Type="http://schemas.openxmlformats.org/officeDocument/2006/relationships/image" Target="media/image166.png"/><Relationship Id="rId187" Type="http://schemas.openxmlformats.org/officeDocument/2006/relationships/image" Target="media/image167.png"/><Relationship Id="rId188" Type="http://schemas.openxmlformats.org/officeDocument/2006/relationships/image" Target="media/image168.png"/><Relationship Id="rId189" Type="http://schemas.openxmlformats.org/officeDocument/2006/relationships/image" Target="media/image169.png"/><Relationship Id="rId190" Type="http://schemas.openxmlformats.org/officeDocument/2006/relationships/image" Target="media/image170.png"/><Relationship Id="rId191" Type="http://schemas.openxmlformats.org/officeDocument/2006/relationships/image" Target="media/image171.png"/><Relationship Id="rId192" Type="http://schemas.openxmlformats.org/officeDocument/2006/relationships/image" Target="media/image172.png"/><Relationship Id="rId193" Type="http://schemas.openxmlformats.org/officeDocument/2006/relationships/image" Target="media/image173.png"/><Relationship Id="rId194" Type="http://schemas.openxmlformats.org/officeDocument/2006/relationships/image" Target="media/image174.png"/><Relationship Id="rId195" Type="http://schemas.openxmlformats.org/officeDocument/2006/relationships/image" Target="media/image175.png"/><Relationship Id="rId196" Type="http://schemas.openxmlformats.org/officeDocument/2006/relationships/image" Target="media/image176.png"/><Relationship Id="rId197" Type="http://schemas.openxmlformats.org/officeDocument/2006/relationships/image" Target="media/image177.png"/><Relationship Id="rId198" Type="http://schemas.openxmlformats.org/officeDocument/2006/relationships/image" Target="media/image178.png"/><Relationship Id="rId199" Type="http://schemas.openxmlformats.org/officeDocument/2006/relationships/image" Target="media/image179.png"/><Relationship Id="rId200" Type="http://schemas.openxmlformats.org/officeDocument/2006/relationships/image" Target="media/image180.png"/><Relationship Id="rId201" Type="http://schemas.openxmlformats.org/officeDocument/2006/relationships/image" Target="media/image181.png"/><Relationship Id="rId202" Type="http://schemas.openxmlformats.org/officeDocument/2006/relationships/image" Target="media/image182.png"/><Relationship Id="rId203" Type="http://schemas.openxmlformats.org/officeDocument/2006/relationships/image" Target="media/image183.png"/><Relationship Id="rId204" Type="http://schemas.openxmlformats.org/officeDocument/2006/relationships/image" Target="media/image184.png"/><Relationship Id="rId205" Type="http://schemas.openxmlformats.org/officeDocument/2006/relationships/image" Target="media/image185.png"/><Relationship Id="rId206" Type="http://schemas.openxmlformats.org/officeDocument/2006/relationships/image" Target="media/image186.png"/><Relationship Id="rId207" Type="http://schemas.openxmlformats.org/officeDocument/2006/relationships/image" Target="media/image187.png"/><Relationship Id="rId208" Type="http://schemas.openxmlformats.org/officeDocument/2006/relationships/image" Target="media/image188.png"/><Relationship Id="rId209" Type="http://schemas.openxmlformats.org/officeDocument/2006/relationships/image" Target="media/image189.png"/><Relationship Id="rId210" Type="http://schemas.openxmlformats.org/officeDocument/2006/relationships/image" Target="media/image190.png"/><Relationship Id="rId211" Type="http://schemas.openxmlformats.org/officeDocument/2006/relationships/image" Target="media/image191.png"/><Relationship Id="rId212" Type="http://schemas.openxmlformats.org/officeDocument/2006/relationships/image" Target="media/image192.png"/><Relationship Id="rId213" Type="http://schemas.openxmlformats.org/officeDocument/2006/relationships/image" Target="media/image193.png"/><Relationship Id="rId214" Type="http://schemas.openxmlformats.org/officeDocument/2006/relationships/image" Target="media/image194.png"/><Relationship Id="rId215" Type="http://schemas.openxmlformats.org/officeDocument/2006/relationships/image" Target="media/image195.png"/><Relationship Id="rId216" Type="http://schemas.openxmlformats.org/officeDocument/2006/relationships/image" Target="media/image196.png"/><Relationship Id="rId217" Type="http://schemas.openxmlformats.org/officeDocument/2006/relationships/image" Target="media/image197.png"/><Relationship Id="rId218" Type="http://schemas.openxmlformats.org/officeDocument/2006/relationships/image" Target="media/image198.png"/><Relationship Id="rId219" Type="http://schemas.openxmlformats.org/officeDocument/2006/relationships/image" Target="media/image199.png"/><Relationship Id="rId220" Type="http://schemas.openxmlformats.org/officeDocument/2006/relationships/image" Target="media/image200.png"/><Relationship Id="rId221" Type="http://schemas.openxmlformats.org/officeDocument/2006/relationships/image" Target="media/image201.png"/><Relationship Id="rId222" Type="http://schemas.openxmlformats.org/officeDocument/2006/relationships/image" Target="media/image202.png"/><Relationship Id="rId223" Type="http://schemas.openxmlformats.org/officeDocument/2006/relationships/image" Target="media/image203.png"/><Relationship Id="rId224" Type="http://schemas.openxmlformats.org/officeDocument/2006/relationships/image" Target="media/image204.png"/><Relationship Id="rId225" Type="http://schemas.openxmlformats.org/officeDocument/2006/relationships/image" Target="media/image205.png"/><Relationship Id="rId226" Type="http://schemas.openxmlformats.org/officeDocument/2006/relationships/image" Target="media/image206.png"/><Relationship Id="rId227" Type="http://schemas.openxmlformats.org/officeDocument/2006/relationships/image" Target="media/image207.png"/><Relationship Id="rId228" Type="http://schemas.openxmlformats.org/officeDocument/2006/relationships/image" Target="media/image208.png"/><Relationship Id="rId229" Type="http://schemas.openxmlformats.org/officeDocument/2006/relationships/image" Target="media/image209.png"/><Relationship Id="rId230" Type="http://schemas.openxmlformats.org/officeDocument/2006/relationships/image" Target="media/image210.png"/><Relationship Id="rId231" Type="http://schemas.openxmlformats.org/officeDocument/2006/relationships/image" Target="media/image211.png"/><Relationship Id="rId232" Type="http://schemas.openxmlformats.org/officeDocument/2006/relationships/image" Target="media/image212.png"/><Relationship Id="rId233" Type="http://schemas.openxmlformats.org/officeDocument/2006/relationships/image" Target="media/image213.png"/><Relationship Id="rId234" Type="http://schemas.openxmlformats.org/officeDocument/2006/relationships/image" Target="media/image214.png"/><Relationship Id="rId235" Type="http://schemas.openxmlformats.org/officeDocument/2006/relationships/image" Target="media/image215.png"/><Relationship Id="rId236" Type="http://schemas.openxmlformats.org/officeDocument/2006/relationships/image" Target="media/image216.png"/><Relationship Id="rId237" Type="http://schemas.openxmlformats.org/officeDocument/2006/relationships/image" Target="media/image217.png"/><Relationship Id="rId238" Type="http://schemas.openxmlformats.org/officeDocument/2006/relationships/image" Target="media/image218.png"/><Relationship Id="rId239" Type="http://schemas.openxmlformats.org/officeDocument/2006/relationships/image" Target="media/image219.png"/><Relationship Id="rId240" Type="http://schemas.openxmlformats.org/officeDocument/2006/relationships/image" Target="media/image220.png"/><Relationship Id="rId241" Type="http://schemas.openxmlformats.org/officeDocument/2006/relationships/image" Target="media/image221.png"/><Relationship Id="rId242" Type="http://schemas.openxmlformats.org/officeDocument/2006/relationships/image" Target="media/image222.png"/><Relationship Id="rId243" Type="http://schemas.openxmlformats.org/officeDocument/2006/relationships/image" Target="media/image223.png"/><Relationship Id="rId244" Type="http://schemas.openxmlformats.org/officeDocument/2006/relationships/image" Target="media/image224.png"/><Relationship Id="rId245" Type="http://schemas.openxmlformats.org/officeDocument/2006/relationships/image" Target="media/image225.png"/><Relationship Id="rId246" Type="http://schemas.openxmlformats.org/officeDocument/2006/relationships/image" Target="media/image226.png"/><Relationship Id="rId247" Type="http://schemas.openxmlformats.org/officeDocument/2006/relationships/image" Target="media/image227.png"/><Relationship Id="rId248" Type="http://schemas.openxmlformats.org/officeDocument/2006/relationships/image" Target="media/image228.png"/><Relationship Id="rId249" Type="http://schemas.openxmlformats.org/officeDocument/2006/relationships/image" Target="media/image229.png"/><Relationship Id="rId250" Type="http://schemas.openxmlformats.org/officeDocument/2006/relationships/image" Target="media/image230.png"/><Relationship Id="rId251" Type="http://schemas.openxmlformats.org/officeDocument/2006/relationships/image" Target="media/image231.png"/><Relationship Id="rId252" Type="http://schemas.openxmlformats.org/officeDocument/2006/relationships/image" Target="media/image232.png"/><Relationship Id="rId253" Type="http://schemas.openxmlformats.org/officeDocument/2006/relationships/image" Target="media/image233.png"/><Relationship Id="rId254" Type="http://schemas.openxmlformats.org/officeDocument/2006/relationships/image" Target="media/image234.png"/><Relationship Id="rId255" Type="http://schemas.openxmlformats.org/officeDocument/2006/relationships/image" Target="media/image235.png"/><Relationship Id="rId256" Type="http://schemas.openxmlformats.org/officeDocument/2006/relationships/image" Target="media/image236.png"/><Relationship Id="rId257" Type="http://schemas.openxmlformats.org/officeDocument/2006/relationships/image" Target="media/image237.png"/><Relationship Id="rId258" Type="http://schemas.openxmlformats.org/officeDocument/2006/relationships/image" Target="media/image238.png"/><Relationship Id="rId259" Type="http://schemas.openxmlformats.org/officeDocument/2006/relationships/image" Target="media/image239.png"/><Relationship Id="rId260" Type="http://schemas.openxmlformats.org/officeDocument/2006/relationships/image" Target="media/image240.png"/><Relationship Id="rId261" Type="http://schemas.openxmlformats.org/officeDocument/2006/relationships/image" Target="media/image241.png"/><Relationship Id="rId262" Type="http://schemas.openxmlformats.org/officeDocument/2006/relationships/image" Target="media/image242.png"/><Relationship Id="rId263" Type="http://schemas.openxmlformats.org/officeDocument/2006/relationships/image" Target="media/image243.png"/><Relationship Id="rId264" Type="http://schemas.openxmlformats.org/officeDocument/2006/relationships/image" Target="media/image244.png"/><Relationship Id="rId265" Type="http://schemas.openxmlformats.org/officeDocument/2006/relationships/image" Target="media/image245.png"/><Relationship Id="rId266" Type="http://schemas.openxmlformats.org/officeDocument/2006/relationships/image" Target="media/image246.png"/><Relationship Id="rId267" Type="http://schemas.openxmlformats.org/officeDocument/2006/relationships/image" Target="media/image247.png"/><Relationship Id="rId268" Type="http://schemas.openxmlformats.org/officeDocument/2006/relationships/image" Target="media/image248.png"/><Relationship Id="rId269" Type="http://schemas.openxmlformats.org/officeDocument/2006/relationships/image" Target="media/image249.png"/><Relationship Id="rId270" Type="http://schemas.openxmlformats.org/officeDocument/2006/relationships/image" Target="media/image250.png"/><Relationship Id="rId271" Type="http://schemas.openxmlformats.org/officeDocument/2006/relationships/image" Target="media/image251.png"/><Relationship Id="rId272" Type="http://schemas.openxmlformats.org/officeDocument/2006/relationships/image" Target="media/image252.png"/><Relationship Id="rId273" Type="http://schemas.openxmlformats.org/officeDocument/2006/relationships/image" Target="media/image253.png"/><Relationship Id="rId274" Type="http://schemas.openxmlformats.org/officeDocument/2006/relationships/image" Target="media/image254.png"/><Relationship Id="rId275" Type="http://schemas.openxmlformats.org/officeDocument/2006/relationships/image" Target="media/image255.png"/><Relationship Id="rId276" Type="http://schemas.openxmlformats.org/officeDocument/2006/relationships/image" Target="media/image256.png"/><Relationship Id="rId277" Type="http://schemas.openxmlformats.org/officeDocument/2006/relationships/image" Target="media/image257.png"/><Relationship Id="rId278" Type="http://schemas.openxmlformats.org/officeDocument/2006/relationships/image" Target="media/image258.png"/><Relationship Id="rId279" Type="http://schemas.openxmlformats.org/officeDocument/2006/relationships/image" Target="media/image259.png"/><Relationship Id="rId280" Type="http://schemas.openxmlformats.org/officeDocument/2006/relationships/image" Target="media/image260.png"/><Relationship Id="rId281" Type="http://schemas.openxmlformats.org/officeDocument/2006/relationships/image" Target="media/image261.png"/><Relationship Id="rId282" Type="http://schemas.openxmlformats.org/officeDocument/2006/relationships/image" Target="media/image262.png"/><Relationship Id="rId283" Type="http://schemas.openxmlformats.org/officeDocument/2006/relationships/image" Target="media/image263.png"/><Relationship Id="rId284" Type="http://schemas.openxmlformats.org/officeDocument/2006/relationships/image" Target="media/image264.png"/><Relationship Id="rId285" Type="http://schemas.openxmlformats.org/officeDocument/2006/relationships/image" Target="media/image265.png"/><Relationship Id="rId286" Type="http://schemas.openxmlformats.org/officeDocument/2006/relationships/image" Target="media/image266.png"/><Relationship Id="rId287" Type="http://schemas.openxmlformats.org/officeDocument/2006/relationships/image" Target="media/image267.png"/><Relationship Id="rId288" Type="http://schemas.openxmlformats.org/officeDocument/2006/relationships/image" Target="media/image268.png"/><Relationship Id="rId289" Type="http://schemas.openxmlformats.org/officeDocument/2006/relationships/image" Target="media/image269.png"/><Relationship Id="rId290" Type="http://schemas.openxmlformats.org/officeDocument/2006/relationships/image" Target="media/image270.png"/><Relationship Id="rId291" Type="http://schemas.openxmlformats.org/officeDocument/2006/relationships/image" Target="media/image271.png"/><Relationship Id="rId292" Type="http://schemas.openxmlformats.org/officeDocument/2006/relationships/image" Target="media/image272.png"/><Relationship Id="rId293" Type="http://schemas.openxmlformats.org/officeDocument/2006/relationships/image" Target="media/image273.png"/><Relationship Id="rId294" Type="http://schemas.openxmlformats.org/officeDocument/2006/relationships/image" Target="media/image274.png"/><Relationship Id="rId295" Type="http://schemas.openxmlformats.org/officeDocument/2006/relationships/image" Target="media/image275.png"/><Relationship Id="rId296" Type="http://schemas.openxmlformats.org/officeDocument/2006/relationships/image" Target="media/image276.png"/><Relationship Id="rId297" Type="http://schemas.openxmlformats.org/officeDocument/2006/relationships/image" Target="media/image277.png"/><Relationship Id="rId298" Type="http://schemas.openxmlformats.org/officeDocument/2006/relationships/image" Target="media/image278.png"/><Relationship Id="rId299" Type="http://schemas.openxmlformats.org/officeDocument/2006/relationships/image" Target="media/image279.png"/><Relationship Id="rId300" Type="http://schemas.openxmlformats.org/officeDocument/2006/relationships/image" Target="media/image280.jpeg"/><Relationship Id="rId301" Type="http://schemas.openxmlformats.org/officeDocument/2006/relationships/image" Target="media/image281.png"/><Relationship Id="rId302" Type="http://schemas.openxmlformats.org/officeDocument/2006/relationships/image" Target="media/image282.png"/><Relationship Id="rId303" Type="http://schemas.openxmlformats.org/officeDocument/2006/relationships/image" Target="media/image283.png"/><Relationship Id="rId304" Type="http://schemas.openxmlformats.org/officeDocument/2006/relationships/image" Target="media/image284.png"/><Relationship Id="rId305" Type="http://schemas.openxmlformats.org/officeDocument/2006/relationships/image" Target="media/image285.png"/><Relationship Id="rId306" Type="http://schemas.openxmlformats.org/officeDocument/2006/relationships/image" Target="media/image286.png"/><Relationship Id="rId307" Type="http://schemas.openxmlformats.org/officeDocument/2006/relationships/image" Target="media/image287.png"/><Relationship Id="rId308" Type="http://schemas.openxmlformats.org/officeDocument/2006/relationships/image" Target="media/image288.png"/><Relationship Id="rId309" Type="http://schemas.openxmlformats.org/officeDocument/2006/relationships/image" Target="media/image289.png"/><Relationship Id="rId310" Type="http://schemas.openxmlformats.org/officeDocument/2006/relationships/image" Target="media/image290.png"/><Relationship Id="rId311" Type="http://schemas.openxmlformats.org/officeDocument/2006/relationships/image" Target="media/image291.jpeg"/><Relationship Id="rId312" Type="http://schemas.openxmlformats.org/officeDocument/2006/relationships/image" Target="media/image292.png"/><Relationship Id="rId313" Type="http://schemas.openxmlformats.org/officeDocument/2006/relationships/image" Target="media/image293.png"/><Relationship Id="rId314" Type="http://schemas.openxmlformats.org/officeDocument/2006/relationships/image" Target="media/image294.png"/><Relationship Id="rId158" Type="http://schemas.openxmlformats.org/officeDocument/2006/relationships/hyperlink" Target="http://www.sec.gov/Archives/edgar/data/1873875/000121390023091083/ea189032ex2-1_incannex.htm" TargetMode="External"/><Relationship Id="rId159" Type="http://schemas.openxmlformats.org/officeDocument/2006/relationships/hyperlink" Target="http://www.sec.gov/Archives/edgar/data/1873875/000121390023091083/ea189032ex3-1_incannex.htm" TargetMode="External"/><Relationship Id="rId160" Type="http://schemas.openxmlformats.org/officeDocument/2006/relationships/hyperlink" Target="http://www.sec.gov/Archives/edgar/data/1873875/000121390023091083/ea189032ex3-2_incannex.htm" TargetMode="External"/><Relationship Id="rId161" Type="http://schemas.openxmlformats.org/officeDocument/2006/relationships/hyperlink" Target="http://www.sec.gov/Archives/edgar/data/1873875/000121390023091083/ea189032ex99-1_incannex.htm" TargetMode="External"/><Relationship Id="rId162" Type="http://schemas.openxmlformats.org/officeDocument/2006/relationships/hyperlink" Target="http://www.sec.gov/Archives/edgar/data/1873875/000121390022003395/f20fr12b2021ex4-1_incannex.htm" TargetMode="External"/><Relationship Id="rId163" Type="http://schemas.openxmlformats.org/officeDocument/2006/relationships/hyperlink" Target="http://www.sec.gov/Archives/edgar/data/1873875/000121390022066882/f20f2022ex4-11_incannex.htm" TargetMode="External"/><Relationship Id="rId164" Type="http://schemas.openxmlformats.org/officeDocument/2006/relationships/hyperlink" Target="http://www.sec.gov/Archives/edgar/data/1873875/000121390023081650/f20f2023ex4-12_incannex.htm" TargetMode="External"/><Relationship Id="rId165" Type="http://schemas.openxmlformats.org/officeDocument/2006/relationships/hyperlink" Target="http://www.sec.gov/Archives/edgar/data/1873875/000121390023091083/ea189032ex10-1_incannex.htm" TargetMode="External"/><Relationship Id="rId166" Type="http://schemas.openxmlformats.org/officeDocument/2006/relationships/hyperlink" Target="http://www.sec.gov/Archives/edgar/data/1873875/000121390023091083/ea189032ex10-2_incannex.htm" TargetMode="External"/><Relationship Id="rId167" Type="http://schemas.openxmlformats.org/officeDocument/2006/relationships/hyperlink" Target="http://www.sec.gov/Archives/edgar/data/1873875/000121390024019724/ea0201207ex10-1_incannex.htm" TargetMode="External"/><Relationship Id="rId168" Type="http://schemas.openxmlformats.org/officeDocument/2006/relationships/hyperlink" Target="http://www.sec.gov/Archives/edgar/data/1873875/000121390024077119/ea021406201ex10-1_incannex.htm" TargetMode="External"/><Relationship Id="rId169" Type="http://schemas.openxmlformats.org/officeDocument/2006/relationships/hyperlink" Target="http://www.sec.gov/Archives/edgar/data/1873875/000121390024077119/ea021406201ex10-2_incannex.htm" TargetMode="External"/><Relationship Id="rId170" Type="http://schemas.openxmlformats.org/officeDocument/2006/relationships/hyperlink" Target="http://www.sec.gov/Archives/edgar/data/1873875/000121390023095862/ea190129ex16-1_incann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2024-09-30T06:45:26Z</dcterms:created>
  <dcterms:modified xsi:type="dcterms:W3CDTF">2024-09-30T06:45:26Z</dcterms:modified>
</cp:coreProperties>
</file>