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2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3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320" w:type="dxa"/>
            <w:vAlign w:val="bottom"/>
          </w:tcPr>
          <w:p>
            <w:pPr>
              <w:spacing w:after="0"/>
              <w:rPr>
                <w:sz w:val="20"/>
                <w:szCs w:val="20"/>
                <w:color w:val="auto"/>
              </w:rPr>
            </w:pPr>
          </w:p>
        </w:tc>
      </w:tr>
      <w:tr>
        <w:trPr>
          <w:trHeight w:val="432"/>
        </w:trPr>
        <w:tc>
          <w:tcPr>
            <w:tcW w:w="7920" w:type="dxa"/>
            <w:vAlign w:val="bottom"/>
            <w:gridSpan w:val="8"/>
          </w:tcPr>
          <w:p>
            <w:pPr>
              <w:jc w:val="center"/>
              <w:ind w:left="323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12, 2026</w:t>
            </w:r>
          </w:p>
        </w:tc>
        <w:tc>
          <w:tcPr>
            <w:tcW w:w="332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332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3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439"/>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001-41106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IRS Employer</w:t>
            </w:r>
          </w:p>
        </w:tc>
      </w:tr>
      <w:tr>
        <w:trPr>
          <w:trHeight w:val="234"/>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45"/>
        </w:trPr>
        <w:tc>
          <w:tcPr>
            <w:tcW w:w="4080" w:type="dxa"/>
            <w:vAlign w:val="bottom"/>
            <w:tcBorders>
              <w:bottom w:val="single" w:sz="8" w:color="auto"/>
            </w:tcBorders>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180" w:type="dxa"/>
            <w:vAlign w:val="bottom"/>
            <w:gridSpan w:val="3"/>
          </w:tcPr>
          <w:p>
            <w:pPr>
              <w:spacing w:after="0"/>
              <w:rPr>
                <w:sz w:val="20"/>
                <w:szCs w:val="20"/>
                <w:color w:val="auto"/>
              </w:rPr>
            </w:pPr>
          </w:p>
        </w:tc>
        <w:tc>
          <w:tcPr>
            <w:tcW w:w="3320" w:type="dxa"/>
            <w:vAlign w:val="bottom"/>
          </w:tcPr>
          <w:p>
            <w:pPr>
              <w:jc w:val="center"/>
              <w:ind w:right="2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May 12,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164465</wp:posOffset>
            </wp:positionV>
            <wp:extent cx="320611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Wins MedTech Breakthrough Award for IHL-42X, Underscoring Leadership in Next-Generation Drug Development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Recognition highlights strong clinical progress and growing global validation of Incannex’s innovative approach to treating obstructive sleep apnea</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MELBOURNE, Australia and NEW YORK, May 12, 2026 (GLOBE NEWSWIRE) — </w:t>
      </w:r>
      <w:r>
        <w:rPr>
          <w:rFonts w:ascii="Times New Roman" w:cs="Times New Roman" w:eastAsia="Times New Roman" w:hAnsi="Times New Roman"/>
          <w:sz w:val="18"/>
          <w:szCs w:val="18"/>
          <w:color w:val="auto"/>
        </w:rPr>
        <w:t>Incannex Healthcare Inc. (Nasdaq: IXHL),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advancing innovative combination therapies for high-impact indications, today announced it has been named the winner of the “Best New Technology Solution for Drug Development” award in the 10th annual MedTech Breakthrough Awards program.</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award recognizes Incannex’s lead drug candidate, IHL-42X, an oral fixed-dose combination therapy in development for the treatment of obstructive sleep apnea (OSA), and reinforces the Company’s growing position at the forefront of next-generation therapeutic innovation.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IHL-42X combines dronabinol and acetazolamide, two well-characterized pharmaceutical agents with complementary mechanisms of action, designed to target key physiological drivers of OSA, including ventilatory control instability and upper airway dysfunction. In the Phase 2 RePOSA clinical trial, IHL-42X delivered statistically significant and clinically meaningful reductions in apnea-hypopnea index (AHI), alongside improvements in oxygenation, sleep quality, and patient-reported fatigue outcomes.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award is a strong external validation of the progress we are making with IHL-42X and the broader Incannex pipeline,” said Joel Latham, President and Chief Executive Officer of Incannex Healthcare Inc. “We believe IHL-42X has the potential to redefine the treatment paradigm in obstructive sleep apnea, addressing critical gaps in current standards of care. With a growing body of compelling clinical data, we are advancing toward the next stage of development with a clear focus on delivering a first-in-class oral therapy that can meaningfully improve outcomes for millions of patients globally.”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MedTech Breakthrough Awards program is one of the industry’s leading global recognition platforms, honoring the most innovative companies, technologies, and products shaping the future of digital health and medical technology. This year’s program attracted thousands of nominations from organizations across more than 20 countries, underscoring the increasing pace of innovation and global competition within the sector.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recognition comes at a pivotal time for Incannex as the Company continues to advance IHL-42X through late-stage development and explore strategic opportunities to expand its clinical and commercial potential. The award further reinforces Incannex’s strategy of developing differentiated, evidence-based combination therapies targeting diseases with significant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including IHL-42X, expectations regarding use of the Company’s cash on hand, the potential value of the Company’s drug candidates and business, including these values as compared to available cash, opportunities, the strategy, timing and future development of the Company’s drug candidates, the potential value of the Company and its drug candidates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and other risks described in the section entitled “Risk Factors” described in the prospectus supplement and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300" w:firstLine="8"/>
        <w:spacing w:after="0" w:line="255"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2026-05-12T06:31:45Z</dcterms:created>
  <dcterms:modified xsi:type="dcterms:W3CDTF">2026-05-12T06:31:45Z</dcterms:modified>
</cp:coreProperties>
</file>